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55591287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#10</w:t>
      </w:r>
      <w:r w:rsidR="007104A7">
        <w:rPr>
          <w:rFonts w:ascii="Arial" w:hAnsi="Arial" w:cs="Arial"/>
          <w:b/>
          <w:bCs/>
          <w:sz w:val="24"/>
        </w:rPr>
        <w:t>2</w:t>
      </w:r>
      <w:r w:rsidR="001043C7">
        <w:rPr>
          <w:rFonts w:ascii="Arial" w:hAnsi="Arial" w:cs="Arial"/>
          <w:b/>
          <w:bCs/>
          <w:sz w:val="24"/>
        </w:rPr>
        <w:t>-e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R1-20</w:t>
      </w:r>
      <w:r w:rsidR="006D57CC">
        <w:rPr>
          <w:rFonts w:ascii="Arial" w:hAnsi="Arial" w:cs="Arial"/>
          <w:b/>
          <w:bCs/>
          <w:sz w:val="24"/>
        </w:rPr>
        <w:t>06133</w:t>
      </w:r>
      <w:bookmarkStart w:id="0" w:name="_GoBack"/>
      <w:bookmarkEnd w:id="0"/>
    </w:p>
    <w:p w14:paraId="0A1AA35D" w14:textId="7FF36968" w:rsidR="00CE3813" w:rsidRDefault="000F2A5E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e-Meeting, Aug 17</w:t>
      </w:r>
      <w:r w:rsidR="00671FB5"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71FB5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Aug</w:t>
      </w:r>
      <w:r w:rsidR="00671FB5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28</w:t>
      </w:r>
      <w:r w:rsidR="00671FB5"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71FB5" w:rsidRPr="008D31A3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1F1E32DE" w14:textId="77777777" w:rsidR="00671FB5" w:rsidRPr="00082D37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B75367C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E403DE">
        <w:rPr>
          <w:rFonts w:ascii="Arial" w:hAnsi="Arial"/>
          <w:sz w:val="24"/>
          <w:lang w:val="en-US" w:eastAsia="ko-KR"/>
        </w:rPr>
        <w:t>8.</w:t>
      </w:r>
      <w:r w:rsidR="00BB63C7">
        <w:rPr>
          <w:rFonts w:ascii="Arial" w:hAnsi="Arial"/>
          <w:sz w:val="24"/>
          <w:lang w:val="en-US" w:eastAsia="ko-KR"/>
        </w:rPr>
        <w:t>1.3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5C24FB15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0F2A5E" w:rsidRPr="000F2A5E">
        <w:rPr>
          <w:rFonts w:ascii="Arial" w:hAnsi="Arial"/>
          <w:sz w:val="24"/>
          <w:lang w:val="en-US"/>
        </w:rPr>
        <w:t>Enhancements on SRS</w:t>
      </w:r>
      <w:r w:rsidR="00060660" w:rsidRPr="00060660">
        <w:rPr>
          <w:rFonts w:ascii="Arial" w:hAnsi="Arial"/>
          <w:sz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14:paraId="7BE43360" w14:textId="11C14626" w:rsidR="003A702D" w:rsidRDefault="00AC3C26" w:rsidP="000F2A5E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 xml:space="preserve">The endorsed Rel.17 NR </w:t>
      </w:r>
      <w:proofErr w:type="spellStart"/>
      <w:r>
        <w:rPr>
          <w:lang w:val="en-US"/>
        </w:rPr>
        <w:t>FeMIMO</w:t>
      </w:r>
      <w:proofErr w:type="spellEnd"/>
      <w:r>
        <w:rPr>
          <w:lang w:val="en-US"/>
        </w:rPr>
        <w:t xml:space="preserve"> WID is given as follows</w:t>
      </w:r>
      <w:r w:rsidR="00E23161">
        <w:rPr>
          <w:lang w:val="en-US"/>
        </w:rPr>
        <w:t xml:space="preserve"> </w:t>
      </w:r>
      <w:r w:rsidR="00CA205C">
        <w:rPr>
          <w:lang w:val="en-US"/>
        </w:rPr>
        <w:fldChar w:fldCharType="begin"/>
      </w:r>
      <w:r w:rsidR="00CA205C">
        <w:rPr>
          <w:lang w:val="en-US"/>
        </w:rPr>
        <w:instrText xml:space="preserve"> REF _Ref31989388 \r \h </w:instrText>
      </w:r>
      <w:r w:rsidR="00CA205C">
        <w:rPr>
          <w:lang w:val="en-US"/>
        </w:rPr>
      </w:r>
      <w:r w:rsidR="00CA205C">
        <w:rPr>
          <w:lang w:val="en-US"/>
        </w:rPr>
        <w:fldChar w:fldCharType="separate"/>
      </w:r>
      <w:r w:rsidR="00CA205C">
        <w:rPr>
          <w:lang w:val="en-US"/>
        </w:rPr>
        <w:t>[1]</w:t>
      </w:r>
      <w:r w:rsidR="00CA205C">
        <w:rPr>
          <w:lang w:val="en-US"/>
        </w:rPr>
        <w:fldChar w:fldCharType="end"/>
      </w:r>
      <w:r w:rsidR="00E23161">
        <w:rPr>
          <w:lang w:val="en-US"/>
        </w:rPr>
        <w:t>:</w:t>
      </w:r>
    </w:p>
    <w:tbl>
      <w:tblPr>
        <w:tblStyle w:val="a6"/>
        <w:tblW w:w="9630" w:type="dxa"/>
        <w:tblInd w:w="-5" w:type="dxa"/>
        <w:tblLook w:val="04A0" w:firstRow="1" w:lastRow="0" w:firstColumn="1" w:lastColumn="0" w:noHBand="0" w:noVBand="1"/>
      </w:tblPr>
      <w:tblGrid>
        <w:gridCol w:w="9630"/>
      </w:tblGrid>
      <w:tr w:rsidR="001026E8" w:rsidRPr="001026E8" w14:paraId="3B59F54C" w14:textId="74BA3835" w:rsidTr="000F2A5E">
        <w:tc>
          <w:tcPr>
            <w:tcW w:w="9630" w:type="dxa"/>
          </w:tcPr>
          <w:p w14:paraId="61041520" w14:textId="77777777" w:rsidR="001026E8" w:rsidRPr="000F2A5E" w:rsidRDefault="001026E8" w:rsidP="000F2A5E">
            <w:pPr>
              <w:spacing w:after="0"/>
              <w:jc w:val="both"/>
              <w:rPr>
                <w:sz w:val="18"/>
                <w:szCs w:val="18"/>
              </w:rPr>
            </w:pPr>
            <w:r w:rsidRPr="000F2A5E">
              <w:rPr>
                <w:sz w:val="18"/>
                <w:szCs w:val="18"/>
              </w:rPr>
              <w:t>Enhancement on SRS, targeting both FR1 and FR2:</w:t>
            </w:r>
          </w:p>
          <w:p w14:paraId="74AB5C0A" w14:textId="77777777" w:rsidR="001026E8" w:rsidRPr="001026E8" w:rsidRDefault="001026E8" w:rsidP="00856ADC">
            <w:pPr>
              <w:pStyle w:val="a4"/>
              <w:numPr>
                <w:ilvl w:val="1"/>
                <w:numId w:val="15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>Identify and specify enhancements on aperiodic SRS triggering to facilitate more flexible triggering and/or DCI overhead/usage reduction</w:t>
            </w:r>
          </w:p>
          <w:p w14:paraId="6CF6EFA7" w14:textId="77777777" w:rsidR="001026E8" w:rsidRPr="001026E8" w:rsidRDefault="001026E8" w:rsidP="00856ADC">
            <w:pPr>
              <w:pStyle w:val="a4"/>
              <w:numPr>
                <w:ilvl w:val="1"/>
                <w:numId w:val="15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 xml:space="preserve">Specify SRS switching for up to 8 antennas (e.g., </w:t>
            </w:r>
            <w:proofErr w:type="spellStart"/>
            <w:r w:rsidRPr="001026E8">
              <w:rPr>
                <w:sz w:val="18"/>
                <w:szCs w:val="18"/>
              </w:rPr>
              <w:t>xTyR</w:t>
            </w:r>
            <w:proofErr w:type="spellEnd"/>
            <w:r w:rsidRPr="001026E8">
              <w:rPr>
                <w:sz w:val="18"/>
                <w:szCs w:val="18"/>
              </w:rPr>
              <w:t>, x = {1, 2, 4} and y = {6, 8})</w:t>
            </w:r>
          </w:p>
          <w:p w14:paraId="38875879" w14:textId="033C5533" w:rsidR="001026E8" w:rsidRPr="000F2A5E" w:rsidRDefault="001026E8" w:rsidP="000F2A5E">
            <w:pPr>
              <w:pStyle w:val="a4"/>
              <w:numPr>
                <w:ilvl w:val="1"/>
                <w:numId w:val="15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>Evaluate and, if needed, specify the following mechanism(s) to enhance SRS capacity and/or coverage: SRS time bundling, increased SRS repetition, partial sounding across frequency</w:t>
            </w:r>
          </w:p>
        </w:tc>
      </w:tr>
    </w:tbl>
    <w:p w14:paraId="58567AE6" w14:textId="3F0FFFE9" w:rsidR="003A702D" w:rsidRDefault="003A702D" w:rsidP="003A702D">
      <w:pPr>
        <w:pStyle w:val="0Maintext"/>
        <w:spacing w:after="60" w:afterAutospacing="0"/>
        <w:ind w:firstLine="0"/>
        <w:rPr>
          <w:lang w:val="en-US"/>
        </w:rPr>
      </w:pPr>
    </w:p>
    <w:p w14:paraId="1435777B" w14:textId="73645A58" w:rsidR="00E14D15" w:rsidRPr="00EE4026" w:rsidRDefault="007C35B4" w:rsidP="000F2A5E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</w:rPr>
      </w:pPr>
      <w:r>
        <w:rPr>
          <w:lang w:val="en-US"/>
        </w:rPr>
        <w:t xml:space="preserve">This contribution </w:t>
      </w:r>
      <w:r w:rsidR="000F2A5E">
        <w:rPr>
          <w:lang w:val="en-US"/>
        </w:rPr>
        <w:t>discuss</w:t>
      </w:r>
      <w:r w:rsidR="00A66033">
        <w:rPr>
          <w:lang w:val="en-US"/>
        </w:rPr>
        <w:t>es</w:t>
      </w:r>
      <w:r w:rsidR="000F2A5E">
        <w:rPr>
          <w:lang w:val="en-US"/>
        </w:rPr>
        <w:t xml:space="preserve"> Samsung’s view on SRS enhancement</w:t>
      </w:r>
      <w:r w:rsidR="00622FFA">
        <w:rPr>
          <w:lang w:val="en-US"/>
        </w:rPr>
        <w:t xml:space="preserve"> of NR </w:t>
      </w:r>
      <w:proofErr w:type="spellStart"/>
      <w:r w:rsidR="00622FFA">
        <w:rPr>
          <w:lang w:val="en-US"/>
        </w:rPr>
        <w:t>FeMIMO</w:t>
      </w:r>
      <w:proofErr w:type="spellEnd"/>
      <w:r w:rsidR="00622FFA">
        <w:rPr>
          <w:lang w:val="en-US"/>
        </w:rPr>
        <w:t>.</w:t>
      </w:r>
      <w:r w:rsidR="00BB7C26">
        <w:rPr>
          <w:lang w:val="en-US"/>
        </w:rPr>
        <w:t xml:space="preserve"> </w:t>
      </w:r>
    </w:p>
    <w:p w14:paraId="29C103C0" w14:textId="77777777" w:rsidR="005E60B8" w:rsidRPr="00B34889" w:rsidRDefault="005E60B8" w:rsidP="005E60B8">
      <w:pPr>
        <w:pStyle w:val="0Maintext"/>
        <w:rPr>
          <w:lang w:val="en-US" w:eastAsia="ko-KR"/>
        </w:rPr>
      </w:pPr>
    </w:p>
    <w:p w14:paraId="58627BA8" w14:textId="699CADBC" w:rsidR="001672A2" w:rsidRDefault="001672A2" w:rsidP="00BB7C26">
      <w:pPr>
        <w:pStyle w:val="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14:paraId="776964C3" w14:textId="77777777" w:rsidR="001672A2" w:rsidRPr="001672A2" w:rsidRDefault="001672A2" w:rsidP="001672A2">
      <w:pPr>
        <w:pStyle w:val="a4"/>
        <w:keepNext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985DB4A" w14:textId="77777777" w:rsidR="001672A2" w:rsidRPr="001672A2" w:rsidRDefault="001672A2" w:rsidP="001672A2">
      <w:pPr>
        <w:pStyle w:val="a4"/>
        <w:keepNext/>
        <w:keepLines/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E353C9A" w14:textId="44709207" w:rsidR="00631277" w:rsidRDefault="001672A2" w:rsidP="001672A2">
      <w:pPr>
        <w:pStyle w:val="2"/>
      </w:pPr>
      <w:r w:rsidRPr="001672A2">
        <w:t>Support of flexible aperiodic triggerin</w:t>
      </w:r>
      <w:r w:rsidR="00631277">
        <w:t>g</w:t>
      </w:r>
    </w:p>
    <w:p w14:paraId="446A7D6E" w14:textId="2E001210" w:rsidR="00631277" w:rsidRDefault="00631277" w:rsidP="00631277">
      <w:pPr>
        <w:pStyle w:val="0Maintext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Since Rel-16 </w:t>
      </w:r>
      <w:r>
        <w:rPr>
          <w:lang w:eastAsia="ko-KR"/>
        </w:rPr>
        <w:t xml:space="preserve">aperiodic SRS </w:t>
      </w:r>
      <w:r w:rsidR="004A41AF">
        <w:rPr>
          <w:lang w:eastAsia="ko-KR"/>
        </w:rPr>
        <w:t>is</w:t>
      </w:r>
      <w:r>
        <w:rPr>
          <w:lang w:eastAsia="ko-KR"/>
        </w:rPr>
        <w:t xml:space="preserve"> triggered by one of UE-specific DCIs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based on the</w:t>
      </w:r>
      <w:r>
        <w:rPr>
          <w:rFonts w:hint="eastAsia"/>
          <w:lang w:eastAsia="ko-KR"/>
        </w:rPr>
        <w:t xml:space="preserve"> semi-static triggering offset </w:t>
      </w:r>
      <w:r>
        <w:rPr>
          <w:lang w:eastAsia="ko-KR"/>
        </w:rPr>
        <w:t>configured by higher layer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PDCCH </w:t>
      </w:r>
      <w:r w:rsidR="00005C74">
        <w:rPr>
          <w:lang w:eastAsia="ko-KR"/>
        </w:rPr>
        <w:t xml:space="preserve">usage for </w:t>
      </w:r>
      <w:r>
        <w:rPr>
          <w:lang w:eastAsia="ko-KR"/>
        </w:rPr>
        <w:t xml:space="preserve">conveying the triggering DCIs can be </w:t>
      </w:r>
      <w:r w:rsidR="00005C74">
        <w:rPr>
          <w:lang w:eastAsia="ko-KR"/>
        </w:rPr>
        <w:t xml:space="preserve">excessive </w:t>
      </w:r>
      <w:r>
        <w:rPr>
          <w:lang w:eastAsia="ko-KR"/>
        </w:rPr>
        <w:t xml:space="preserve">especially in TDD system with DL heavy traffic. </w:t>
      </w:r>
      <w:r w:rsidR="004D18BB">
        <w:rPr>
          <w:lang w:eastAsia="ko-KR"/>
        </w:rPr>
        <w:t>Here,</w:t>
      </w:r>
      <w:r>
        <w:rPr>
          <w:lang w:eastAsia="ko-KR"/>
        </w:rPr>
        <w:t xml:space="preserve"> introduc</w:t>
      </w:r>
      <w:r w:rsidR="004D18BB">
        <w:rPr>
          <w:lang w:eastAsia="ko-KR"/>
        </w:rPr>
        <w:t>ing</w:t>
      </w:r>
      <w:r>
        <w:rPr>
          <w:lang w:eastAsia="ko-KR"/>
        </w:rPr>
        <w:t xml:space="preserve"> dynamic triggering offset via DCI</w:t>
      </w:r>
      <w:r w:rsidR="004D18BB">
        <w:rPr>
          <w:lang w:eastAsia="ko-KR"/>
        </w:rPr>
        <w:t xml:space="preserve"> is expected to alleviate this problem</w:t>
      </w:r>
      <w:r>
        <w:rPr>
          <w:lang w:eastAsia="ko-KR"/>
        </w:rPr>
        <w:t xml:space="preserve">. With this approach,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can </w:t>
      </w:r>
      <w:r w:rsidR="00222E6B">
        <w:rPr>
          <w:lang w:eastAsia="ko-KR"/>
        </w:rPr>
        <w:t>spread out</w:t>
      </w:r>
      <w:r w:rsidR="0018221C">
        <w:rPr>
          <w:lang w:eastAsia="ko-KR"/>
        </w:rPr>
        <w:t xml:space="preserve"> </w:t>
      </w:r>
      <w:r>
        <w:rPr>
          <w:lang w:eastAsia="ko-KR"/>
        </w:rPr>
        <w:t xml:space="preserve">the triggering DCIs accordingly at the cost of additional DCI payloads and/or higher layer signalling. </w:t>
      </w:r>
      <w:r w:rsidR="00222E6B">
        <w:rPr>
          <w:lang w:eastAsia="ko-KR"/>
        </w:rPr>
        <w:t xml:space="preserve">Alternatively, a solution based </w:t>
      </w:r>
      <w:r>
        <w:rPr>
          <w:lang w:eastAsia="ko-KR"/>
        </w:rPr>
        <w:t>on the existing features</w:t>
      </w:r>
      <w:r w:rsidR="00AB3907">
        <w:rPr>
          <w:lang w:eastAsia="ko-KR"/>
        </w:rPr>
        <w:t xml:space="preserve"> is possible</w:t>
      </w:r>
      <w:r>
        <w:rPr>
          <w:lang w:eastAsia="ko-KR"/>
        </w:rPr>
        <w:t>, e.g.</w:t>
      </w:r>
      <w:r w:rsidR="00E26059">
        <w:rPr>
          <w:lang w:eastAsia="ko-KR"/>
        </w:rPr>
        <w:t>,</w:t>
      </w:r>
      <w:r>
        <w:rPr>
          <w:lang w:eastAsia="ko-KR"/>
        </w:rPr>
        <w:t xml:space="preserve"> from SRS carrier switching is to adopt automatic delaying of SRS transmission to the valid UL OFDM symbols when the originally indicated OFDM symbols are not </w:t>
      </w:r>
      <w:r w:rsidRPr="00C23361">
        <w:t>available</w:t>
      </w:r>
      <w:r>
        <w:rPr>
          <w:lang w:eastAsia="ko-KR"/>
        </w:rPr>
        <w:t xml:space="preserve"> for SRS transmission. </w:t>
      </w:r>
      <w:r w:rsidR="00AB3907">
        <w:rPr>
          <w:lang w:eastAsia="ko-KR"/>
        </w:rPr>
        <w:t xml:space="preserve">Using </w:t>
      </w:r>
      <w:r>
        <w:rPr>
          <w:lang w:eastAsia="ko-KR"/>
        </w:rPr>
        <w:t xml:space="preserve">of group-common DCI for aperiodic SRS triggering could </w:t>
      </w:r>
      <w:r w:rsidR="00AB3907">
        <w:rPr>
          <w:lang w:eastAsia="ko-KR"/>
        </w:rPr>
        <w:t xml:space="preserve">also </w:t>
      </w:r>
      <w:r>
        <w:rPr>
          <w:lang w:eastAsia="ko-KR"/>
        </w:rPr>
        <w:t>be another method to reduce the PDCCH overhead for triggering DCIs.</w:t>
      </w:r>
    </w:p>
    <w:p w14:paraId="445AC219" w14:textId="6C518D69" w:rsidR="00631277" w:rsidRPr="00F2160F" w:rsidRDefault="00631277" w:rsidP="00631277">
      <w:pPr>
        <w:pStyle w:val="0Maintext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Given that aperiodic SRS </w:t>
      </w:r>
      <w:r w:rsidR="00AB3907">
        <w:rPr>
          <w:lang w:eastAsia="ko-KR"/>
        </w:rPr>
        <w:t>plays</w:t>
      </w:r>
      <w:r>
        <w:rPr>
          <w:rFonts w:hint="eastAsia"/>
          <w:lang w:eastAsia="ko-KR"/>
        </w:rPr>
        <w:t xml:space="preserve"> key roles for various applications</w:t>
      </w:r>
      <w:r>
        <w:rPr>
          <w:lang w:eastAsia="ko-KR"/>
        </w:rPr>
        <w:t>, each</w:t>
      </w:r>
      <w:r w:rsidR="00AB3907">
        <w:rPr>
          <w:lang w:eastAsia="ko-KR"/>
        </w:rPr>
        <w:t xml:space="preserve"> of the</w:t>
      </w:r>
      <w:r>
        <w:rPr>
          <w:lang w:eastAsia="ko-KR"/>
        </w:rPr>
        <w:t xml:space="preserve"> options above may have </w:t>
      </w:r>
      <w:r w:rsidR="00AB3907">
        <w:rPr>
          <w:lang w:eastAsia="ko-KR"/>
        </w:rPr>
        <w:t xml:space="preserve">its </w:t>
      </w:r>
      <w:r>
        <w:rPr>
          <w:lang w:eastAsia="ko-KR"/>
        </w:rPr>
        <w:t xml:space="preserve">own pros and cons </w:t>
      </w:r>
      <w:r w:rsidR="00DB73C0">
        <w:rPr>
          <w:lang w:eastAsia="ko-KR"/>
        </w:rPr>
        <w:t>depending on the</w:t>
      </w:r>
      <w:r>
        <w:rPr>
          <w:lang w:eastAsia="ko-KR"/>
        </w:rPr>
        <w:t xml:space="preserve"> scenarios. For instance, when PDCCH resources are limited due to the narrow bandwidth or opportunistic transmissions in NR-U, etc., the second or third options </w:t>
      </w:r>
      <w:r w:rsidR="002E14CF">
        <w:rPr>
          <w:lang w:eastAsia="ko-KR"/>
        </w:rPr>
        <w:t>results in higher triggering capacity</w:t>
      </w:r>
      <w:r>
        <w:rPr>
          <w:lang w:eastAsia="ko-KR"/>
        </w:rPr>
        <w:t xml:space="preserve"> than the first </w:t>
      </w:r>
      <w:proofErr w:type="spellStart"/>
      <w:r>
        <w:rPr>
          <w:lang w:eastAsia="ko-KR"/>
        </w:rPr>
        <w:t>oneEs</w:t>
      </w:r>
      <w:proofErr w:type="spellEnd"/>
      <w:r>
        <w:rPr>
          <w:lang w:eastAsia="ko-KR"/>
        </w:rPr>
        <w:t>. Therefore, further study should be carefully done by taking into account aspects such as the actual PDCCH overhead according the practical traffic model and UE distributions.</w:t>
      </w:r>
    </w:p>
    <w:p w14:paraId="68D50A74" w14:textId="51F73D09" w:rsidR="00631277" w:rsidRPr="001672A2" w:rsidRDefault="00631277" w:rsidP="00631277">
      <w:pPr>
        <w:pStyle w:val="0Maintext"/>
        <w:ind w:firstLine="0"/>
        <w:rPr>
          <w:u w:val="single"/>
        </w:rPr>
      </w:pPr>
      <w:r w:rsidRPr="001672A2">
        <w:rPr>
          <w:b/>
          <w:u w:val="single"/>
        </w:rPr>
        <w:t>Proposal</w:t>
      </w:r>
      <w:r w:rsidR="00203D14">
        <w:rPr>
          <w:b/>
          <w:u w:val="single"/>
        </w:rPr>
        <w:t xml:space="preserve"> 1.</w:t>
      </w:r>
      <w:r w:rsidRPr="001672A2">
        <w:rPr>
          <w:u w:val="single"/>
        </w:rPr>
        <w:t xml:space="preserve"> Consider the following options for more flexible triggering on aperiodic SRS</w:t>
      </w:r>
    </w:p>
    <w:p w14:paraId="4FFEE805" w14:textId="77777777" w:rsidR="00631277" w:rsidRPr="00AB782F" w:rsidRDefault="00631277" w:rsidP="00631277">
      <w:pPr>
        <w:pStyle w:val="0Maintext"/>
        <w:numPr>
          <w:ilvl w:val="0"/>
          <w:numId w:val="19"/>
        </w:numPr>
      </w:pPr>
      <w:r w:rsidRPr="00AB782F">
        <w:t>Option 1: dynamic triggering offset control (e.g., DCI) – flexible control of slot offset via DCI</w:t>
      </w:r>
    </w:p>
    <w:p w14:paraId="3BC77268" w14:textId="77777777" w:rsidR="000E4014" w:rsidRDefault="00631277" w:rsidP="000E4014">
      <w:pPr>
        <w:pStyle w:val="0Maintext"/>
        <w:numPr>
          <w:ilvl w:val="0"/>
          <w:numId w:val="19"/>
        </w:numPr>
      </w:pPr>
      <w:r w:rsidRPr="00AB782F">
        <w:t xml:space="preserve">Option 2: Automatic delaying of SRS transmission (similar as LTE SRS carrier switching) </w:t>
      </w:r>
    </w:p>
    <w:p w14:paraId="0CF3934D" w14:textId="50327BE2" w:rsidR="00631277" w:rsidRDefault="00631277" w:rsidP="000E4014">
      <w:pPr>
        <w:pStyle w:val="0Maintext"/>
        <w:numPr>
          <w:ilvl w:val="0"/>
          <w:numId w:val="19"/>
        </w:numPr>
      </w:pPr>
      <w:r w:rsidRPr="00AB782F">
        <w:t>Option 3: Group-common DCI for SRS triggering for PDCCH overhead reduction</w:t>
      </w:r>
    </w:p>
    <w:p w14:paraId="2D9EE957" w14:textId="53D6503A" w:rsidR="00631277" w:rsidRDefault="00631277" w:rsidP="00631277">
      <w:pPr>
        <w:rPr>
          <w:lang w:eastAsia="ko-KR"/>
        </w:rPr>
      </w:pPr>
    </w:p>
    <w:p w14:paraId="38C87419" w14:textId="1692581B" w:rsidR="00011DFE" w:rsidRDefault="00011DFE" w:rsidP="00011DFE">
      <w:pPr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02FE748" wp14:editId="7D829B72">
            <wp:extent cx="4088765" cy="2294890"/>
            <wp:effectExtent l="0" t="0" r="698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76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AACBC" w14:textId="77777777" w:rsidR="00011DFE" w:rsidRDefault="00011DFE" w:rsidP="00011DFE">
      <w:pPr>
        <w:jc w:val="center"/>
        <w:rPr>
          <w:b/>
          <w:sz w:val="20"/>
          <w:lang w:eastAsia="ko-KR"/>
        </w:rPr>
      </w:pPr>
      <w:r>
        <w:rPr>
          <w:b/>
          <w:sz w:val="20"/>
          <w:lang w:eastAsia="ko-KR"/>
        </w:rPr>
        <w:t>Figure 1. Options for flexible triggering on aperiodic SRS</w:t>
      </w:r>
    </w:p>
    <w:p w14:paraId="1C45D369" w14:textId="77777777" w:rsidR="00011DFE" w:rsidRPr="00631277" w:rsidRDefault="00011DFE" w:rsidP="00631277">
      <w:pPr>
        <w:rPr>
          <w:lang w:eastAsia="ko-KR"/>
        </w:rPr>
      </w:pPr>
    </w:p>
    <w:p w14:paraId="773AC953" w14:textId="7766A4AC" w:rsidR="00631277" w:rsidRDefault="00631277" w:rsidP="001672A2">
      <w:pPr>
        <w:pStyle w:val="2"/>
      </w:pPr>
      <w:r w:rsidRPr="001672A2">
        <w:t xml:space="preserve">Support of </w:t>
      </w:r>
      <w:r>
        <w:t>antenna switching for up to 8 antennas</w:t>
      </w:r>
    </w:p>
    <w:p w14:paraId="276E18DB" w14:textId="28E6012E" w:rsidR="00F56CF0" w:rsidRDefault="00CD0877" w:rsidP="00F56CF0">
      <w:pPr>
        <w:pStyle w:val="0Maintext"/>
        <w:ind w:firstLine="0"/>
        <w:rPr>
          <w:lang w:eastAsia="ko-KR"/>
        </w:rPr>
      </w:pPr>
      <w:r>
        <w:rPr>
          <w:lang w:eastAsia="ko-KR"/>
        </w:rPr>
        <w:t xml:space="preserve">For SRS antenna switching enhancements, it </w:t>
      </w:r>
      <w:r w:rsidR="00F56CF0">
        <w:rPr>
          <w:lang w:eastAsia="ko-KR"/>
        </w:rPr>
        <w:t xml:space="preserve">is </w:t>
      </w:r>
      <w:r>
        <w:rPr>
          <w:lang w:eastAsia="ko-KR"/>
        </w:rPr>
        <w:t xml:space="preserve">important </w:t>
      </w:r>
      <w:r w:rsidR="00F56CF0">
        <w:rPr>
          <w:lang w:eastAsia="ko-KR"/>
        </w:rPr>
        <w:t xml:space="preserve">to focus on practical UE implementation to reduce efforts on specifying combinations that would never been used. For instance, 4, 6, and 8 Rx cases comprising 2, 3, and 4 panels are commercialized in FR2 (each panel has X-pol) and among then 6 RX with 3 panels case is important UE antenna configuration for commercial UEs in FR2 (see figure </w:t>
      </w:r>
      <w:r w:rsidR="00011DFE">
        <w:rPr>
          <w:lang w:eastAsia="ko-KR"/>
        </w:rPr>
        <w:t>2</w:t>
      </w:r>
      <w:r w:rsidR="00F56CF0">
        <w:rPr>
          <w:lang w:eastAsia="ko-KR"/>
        </w:rPr>
        <w:t>).</w:t>
      </w:r>
    </w:p>
    <w:p w14:paraId="45BC3F35" w14:textId="53C23700" w:rsidR="00F56CF0" w:rsidRDefault="00F56CF0" w:rsidP="00F56CF0">
      <w:pPr>
        <w:pStyle w:val="0Maintext"/>
        <w:ind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38F4E26" wp14:editId="41F0F3B5">
            <wp:extent cx="2545080" cy="2130425"/>
            <wp:effectExtent l="0" t="0" r="7620" b="317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1BB5C5B3" wp14:editId="2226A6A0">
            <wp:extent cx="3209290" cy="193230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B030" w14:textId="5B011F30" w:rsidR="00F56CF0" w:rsidRDefault="00F56CF0" w:rsidP="00F56CF0">
      <w:pPr>
        <w:pStyle w:val="0Maintext"/>
        <w:ind w:firstLine="0"/>
        <w:jc w:val="center"/>
        <w:rPr>
          <w:lang w:eastAsia="ko-KR"/>
        </w:rPr>
      </w:pPr>
      <w:r>
        <w:rPr>
          <w:lang w:eastAsia="ko-KR"/>
        </w:rPr>
        <w:t xml:space="preserve">Figure </w:t>
      </w:r>
      <w:r w:rsidR="00011DFE">
        <w:rPr>
          <w:lang w:eastAsia="ko-KR"/>
        </w:rPr>
        <w:t>2</w:t>
      </w:r>
      <w:r>
        <w:rPr>
          <w:lang w:eastAsia="ko-KR"/>
        </w:rPr>
        <w:t>. Example of 3 patch for notebook and the implementation status (source: FCC)</w:t>
      </w:r>
    </w:p>
    <w:p w14:paraId="7DBF1815" w14:textId="1AC8121D" w:rsidR="00631277" w:rsidRPr="00AB782F" w:rsidRDefault="00631277" w:rsidP="00631277">
      <w:pPr>
        <w:pStyle w:val="0Maintext"/>
        <w:ind w:firstLine="0"/>
        <w:rPr>
          <w:lang w:eastAsia="ko-KR"/>
        </w:rPr>
      </w:pPr>
      <w:r>
        <w:rPr>
          <w:lang w:eastAsia="ko-KR"/>
        </w:rPr>
        <w:t xml:space="preserve">Regarding FR1, it would be feasible to consider </w:t>
      </w:r>
      <w:proofErr w:type="spellStart"/>
      <w:r w:rsidR="00CD0877">
        <w:rPr>
          <w:lang w:eastAsia="ko-KR"/>
        </w:rPr>
        <w:t>o</w:t>
      </w:r>
      <w:r>
        <w:rPr>
          <w:lang w:eastAsia="ko-KR"/>
        </w:rPr>
        <w:t>mni</w:t>
      </w:r>
      <w:proofErr w:type="spellEnd"/>
      <w:r>
        <w:rPr>
          <w:lang w:eastAsia="ko-KR"/>
        </w:rPr>
        <w:t>-directional antenna as the baseline. For the maximum number of TX antennas, we suggest to focus on up to two unless some companies have a plan to implement UEs with 4 TX antennas in the near future.</w:t>
      </w:r>
    </w:p>
    <w:p w14:paraId="270BD30B" w14:textId="14ED7237" w:rsidR="00631277" w:rsidRPr="00717D77" w:rsidRDefault="00631277" w:rsidP="00717D77">
      <w:pPr>
        <w:pStyle w:val="0Maintext"/>
        <w:ind w:firstLine="0"/>
        <w:rPr>
          <w:b/>
          <w:u w:val="single"/>
        </w:rPr>
      </w:pPr>
      <w:r w:rsidRPr="00717D77">
        <w:rPr>
          <w:b/>
          <w:u w:val="single"/>
        </w:rPr>
        <w:t>Proposal</w:t>
      </w:r>
      <w:r w:rsidR="00203D14">
        <w:rPr>
          <w:b/>
          <w:u w:val="single"/>
        </w:rPr>
        <w:t xml:space="preserve"> 2.</w:t>
      </w:r>
      <w:r w:rsidRPr="00717D77">
        <w:rPr>
          <w:rFonts w:hint="eastAsia"/>
          <w:b/>
          <w:u w:val="single"/>
        </w:rPr>
        <w:t xml:space="preserve"> </w:t>
      </w:r>
      <w:r w:rsidRPr="00717D77">
        <w:rPr>
          <w:u w:val="single"/>
        </w:rPr>
        <w:t>Consider practical UE antenna assumptions to specify and evaluate the required combinations of SRS resource set and SRS resource(s) per set for SRS switching for up to 8 antennas</w:t>
      </w:r>
    </w:p>
    <w:p w14:paraId="0BAC18C1" w14:textId="77777777" w:rsidR="00631277" w:rsidRDefault="00631277" w:rsidP="00631277">
      <w:pPr>
        <w:pStyle w:val="0Maintext"/>
        <w:numPr>
          <w:ilvl w:val="0"/>
          <w:numId w:val="20"/>
        </w:numPr>
      </w:pPr>
      <w:r>
        <w:rPr>
          <w:rFonts w:hint="eastAsia"/>
          <w:lang w:eastAsia="ko-KR"/>
        </w:rPr>
        <w:t>6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Rx</w:t>
      </w:r>
      <w:r>
        <w:rPr>
          <w:lang w:eastAsia="ko-KR"/>
        </w:rPr>
        <w:t xml:space="preserve"> cases comprising 3 panels are important from commercial perspective</w:t>
      </w:r>
    </w:p>
    <w:p w14:paraId="643E49BA" w14:textId="77777777" w:rsidR="00631277" w:rsidRDefault="00631277" w:rsidP="00631277">
      <w:pPr>
        <w:pStyle w:val="0Maintext"/>
        <w:numPr>
          <w:ilvl w:val="0"/>
          <w:numId w:val="20"/>
        </w:numPr>
      </w:pPr>
      <w:r>
        <w:rPr>
          <w:rFonts w:hint="eastAsia"/>
          <w:lang w:eastAsia="ko-KR"/>
        </w:rPr>
        <w:t>Omni-directional antenna should be the baseline for FR1</w:t>
      </w:r>
    </w:p>
    <w:p w14:paraId="449F4574" w14:textId="77777777" w:rsidR="00631277" w:rsidRDefault="00631277" w:rsidP="00631277">
      <w:pPr>
        <w:pStyle w:val="0Maintext"/>
        <w:numPr>
          <w:ilvl w:val="0"/>
          <w:numId w:val="20"/>
        </w:numPr>
      </w:pPr>
      <w:r>
        <w:rPr>
          <w:lang w:eastAsia="ko-KR"/>
        </w:rPr>
        <w:t xml:space="preserve">Do not consider 4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cases in FR1</w:t>
      </w:r>
    </w:p>
    <w:p w14:paraId="7DF99D6B" w14:textId="79784140" w:rsidR="00631277" w:rsidRDefault="00631277" w:rsidP="001672A2">
      <w:pPr>
        <w:pStyle w:val="2"/>
      </w:pPr>
      <w:r>
        <w:lastRenderedPageBreak/>
        <w:t>SRS capacity and coverage enhancement</w:t>
      </w:r>
    </w:p>
    <w:p w14:paraId="6FC6BEAF" w14:textId="2DBE8752" w:rsidR="00631277" w:rsidRDefault="00631277" w:rsidP="00631277">
      <w:pPr>
        <w:pStyle w:val="0Maintext"/>
        <w:ind w:firstLine="0"/>
        <w:rPr>
          <w:lang w:eastAsia="ko-KR"/>
        </w:rPr>
      </w:pPr>
      <w:r>
        <w:rPr>
          <w:lang w:eastAsia="ko-KR"/>
        </w:rPr>
        <w:t>Although any OFDM symbol in a slot can be a candidate for SRS transmission Rel-16, there has been no enhancement on the maximum number of SRS OFDM s</w:t>
      </w:r>
      <w:r w:rsidR="00717D77">
        <w:rPr>
          <w:lang w:eastAsia="ko-KR"/>
        </w:rPr>
        <w:t xml:space="preserve">ymbols within </w:t>
      </w:r>
      <w:r w:rsidR="00CD0877">
        <w:rPr>
          <w:lang w:eastAsia="ko-KR"/>
        </w:rPr>
        <w:t>one</w:t>
      </w:r>
      <w:r w:rsidR="00717D77">
        <w:rPr>
          <w:lang w:eastAsia="ko-KR"/>
        </w:rPr>
        <w:t xml:space="preserve"> slot </w:t>
      </w:r>
      <w:r w:rsidR="00CD0877">
        <w:rPr>
          <w:lang w:eastAsia="ko-KR"/>
        </w:rPr>
        <w:t>per</w:t>
      </w:r>
      <w:r w:rsidR="00717D77">
        <w:rPr>
          <w:lang w:eastAsia="ko-KR"/>
        </w:rPr>
        <w:t xml:space="preserve"> UE. i</w:t>
      </w:r>
      <w:r>
        <w:rPr>
          <w:lang w:eastAsia="ko-KR"/>
        </w:rPr>
        <w:t>.e.</w:t>
      </w:r>
      <w:r w:rsidR="00E26059">
        <w:rPr>
          <w:lang w:eastAsia="ko-KR"/>
        </w:rPr>
        <w:t>,</w:t>
      </w:r>
      <w:r>
        <w:rPr>
          <w:lang w:eastAsia="ko-KR"/>
        </w:rPr>
        <w:t xml:space="preserve"> </w:t>
      </w:r>
      <w:r w:rsidR="00CD0877">
        <w:rPr>
          <w:lang w:eastAsia="ko-KR"/>
        </w:rPr>
        <w:t xml:space="preserve">only </w:t>
      </w:r>
      <w:r>
        <w:rPr>
          <w:lang w:eastAsia="ko-KR"/>
        </w:rPr>
        <w:t>up to 4 OFDM symbols in a slot can be used for SRS repetition. Compared with the Rel-16 LTE in where all the 14 symbols can be utilized SRS transmission for a UE, the capacity/coverage of NR SRS could be relatively low. At least three options can be considered to address this issue; 1) SRS bundling in time and/or frequency domain</w:t>
      </w:r>
      <w:r w:rsidR="000E4014">
        <w:rPr>
          <w:lang w:eastAsia="ko-KR"/>
        </w:rPr>
        <w:t xml:space="preserve"> </w:t>
      </w:r>
      <w:r>
        <w:rPr>
          <w:lang w:eastAsia="ko-KR"/>
        </w:rPr>
        <w:t>to provide comparable coverage with PUCCH/PUSCH slot aggregation, 2) partial sounding to extend SRS capacity/coverage without additional SRS resource overhead by interpolation or extrapolation at gNB side, and 3) increase of repetition numbers.</w:t>
      </w:r>
    </w:p>
    <w:p w14:paraId="368E28A0" w14:textId="744369B1" w:rsidR="00631277" w:rsidRPr="00717D77" w:rsidRDefault="00631277" w:rsidP="00717D77">
      <w:pPr>
        <w:pStyle w:val="0Maintext"/>
        <w:ind w:firstLine="0"/>
        <w:rPr>
          <w:u w:val="single"/>
        </w:rPr>
      </w:pPr>
      <w:r w:rsidRPr="00717D77">
        <w:rPr>
          <w:rFonts w:hint="eastAsia"/>
          <w:b/>
          <w:u w:val="single"/>
        </w:rPr>
        <w:t>Proposal</w:t>
      </w:r>
      <w:r w:rsidR="00203D14">
        <w:rPr>
          <w:b/>
          <w:u w:val="single"/>
        </w:rPr>
        <w:t xml:space="preserve"> 3.</w:t>
      </w:r>
      <w:r w:rsidRPr="00717D77">
        <w:rPr>
          <w:rFonts w:hint="eastAsia"/>
          <w:u w:val="single"/>
        </w:rPr>
        <w:t xml:space="preserve"> </w:t>
      </w:r>
      <w:r w:rsidRPr="00717D77">
        <w:rPr>
          <w:u w:val="single"/>
        </w:rPr>
        <w:t>Consider the following options for SRS capacity/coverage enhancements in Rel-17</w:t>
      </w:r>
    </w:p>
    <w:p w14:paraId="06B94F15" w14:textId="6D30CD45" w:rsidR="00631277" w:rsidRPr="00A2176C" w:rsidRDefault="00631277" w:rsidP="00631277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>Option 1: Bundling (e.g., time and/or frequency-domain bundling size)</w:t>
      </w:r>
    </w:p>
    <w:p w14:paraId="0E1B7AA6" w14:textId="77777777" w:rsidR="00631277" w:rsidRPr="00A2176C" w:rsidRDefault="00631277" w:rsidP="00631277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 xml:space="preserve">Option 2: partial sounding (e.g., </w:t>
      </w:r>
      <w:r>
        <w:rPr>
          <w:lang w:eastAsia="ko-KR"/>
        </w:rPr>
        <w:t>through i</w:t>
      </w:r>
      <w:r w:rsidRPr="00A2176C">
        <w:rPr>
          <w:lang w:eastAsia="ko-KR"/>
        </w:rPr>
        <w:t>nterpolation/extrapolation at the gNB based on partial sounding</w:t>
      </w:r>
      <w:r>
        <w:rPr>
          <w:lang w:eastAsia="ko-KR"/>
        </w:rPr>
        <w:t>)</w:t>
      </w:r>
    </w:p>
    <w:p w14:paraId="4F3CF79D" w14:textId="77777777" w:rsidR="00631277" w:rsidRDefault="00631277" w:rsidP="00631277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>Option 3: Increase repetition</w:t>
      </w:r>
    </w:p>
    <w:p w14:paraId="28D41A9B" w14:textId="4F7E4B7A" w:rsidR="00DB4150" w:rsidRPr="00F46A03" w:rsidRDefault="00DB4150" w:rsidP="00F46A03">
      <w:pPr>
        <w:pStyle w:val="0Maintext"/>
        <w:ind w:firstLine="0"/>
        <w:rPr>
          <w:lang w:eastAsia="ko-KR"/>
        </w:rPr>
      </w:pPr>
    </w:p>
    <w:p w14:paraId="407CB3F8" w14:textId="0E7F0BED" w:rsidR="00DB4150" w:rsidRPr="009B5067" w:rsidRDefault="639A35E7" w:rsidP="639A35E7">
      <w:pPr>
        <w:pStyle w:val="2"/>
      </w:pPr>
      <w:r w:rsidRPr="00F46A03">
        <w:rPr>
          <w:rFonts w:ascii="Times New Roman" w:eastAsia="Times New Roman" w:hAnsi="Times New Roman"/>
          <w:sz w:val="14"/>
          <w:szCs w:val="14"/>
        </w:rPr>
        <w:t xml:space="preserve"> </w:t>
      </w:r>
      <w:r w:rsidRPr="00F46A03">
        <w:rPr>
          <w:rFonts w:eastAsia="Arial" w:cs="Arial"/>
        </w:rPr>
        <w:t xml:space="preserve">EVM for SRS </w:t>
      </w:r>
    </w:p>
    <w:p w14:paraId="2AFE41CD" w14:textId="32FFA250" w:rsidR="00DB4150" w:rsidRPr="009B5067" w:rsidRDefault="639A35E7" w:rsidP="000A5409">
      <w:pPr>
        <w:jc w:val="both"/>
      </w:pPr>
      <w:r w:rsidRPr="00F46A03">
        <w:rPr>
          <w:rFonts w:eastAsia="Times New Roman"/>
          <w:sz w:val="20"/>
          <w:lang w:eastAsia="ko-KR"/>
        </w:rPr>
        <w:t>Based on the phase 2 e-mail discussion for EVM, we elaborate our views as follows:</w:t>
      </w:r>
    </w:p>
    <w:p w14:paraId="7DB108DF" w14:textId="466F011D" w:rsidR="00DB4150" w:rsidRPr="009B5067" w:rsidRDefault="639A35E7" w:rsidP="000A5409">
      <w:pPr>
        <w:pStyle w:val="a4"/>
        <w:numPr>
          <w:ilvl w:val="0"/>
          <w:numId w:val="4"/>
        </w:numPr>
        <w:ind w:leftChars="0"/>
        <w:jc w:val="both"/>
        <w:rPr>
          <w:szCs w:val="22"/>
        </w:rPr>
      </w:pPr>
      <w:r w:rsidRPr="00F46A03">
        <w:rPr>
          <w:rFonts w:eastAsia="Times New Roman"/>
          <w:color w:val="000000" w:themeColor="text1"/>
          <w:sz w:val="20"/>
          <w:lang w:eastAsia="ko-KR"/>
        </w:rPr>
        <w:t>Baseline</w:t>
      </w:r>
      <w:r w:rsidR="00F46A03">
        <w:rPr>
          <w:rFonts w:eastAsia="Times New Roman"/>
          <w:color w:val="000000" w:themeColor="text1"/>
          <w:sz w:val="20"/>
          <w:lang w:eastAsia="ko-KR"/>
        </w:rPr>
        <w:t xml:space="preserve">: </w:t>
      </w:r>
      <w:r w:rsidRPr="00F46A03">
        <w:rPr>
          <w:rFonts w:eastAsia="Times New Roman"/>
          <w:color w:val="000000" w:themeColor="text1"/>
          <w:sz w:val="20"/>
          <w:lang w:eastAsia="ko-KR"/>
        </w:rPr>
        <w:t xml:space="preserve">Although there were some enhancements on SRS in Rel-16, those enhancements </w:t>
      </w:r>
      <w:r w:rsidR="00F028F4">
        <w:rPr>
          <w:rFonts w:eastAsia="Times New Roman"/>
          <w:color w:val="000000" w:themeColor="text1"/>
          <w:sz w:val="20"/>
          <w:lang w:eastAsia="ko-KR"/>
        </w:rPr>
        <w:t>are</w:t>
      </w:r>
      <w:r w:rsidRPr="00F46A03">
        <w:rPr>
          <w:rFonts w:eastAsia="Times New Roman"/>
          <w:color w:val="000000" w:themeColor="text1"/>
          <w:sz w:val="20"/>
          <w:lang w:eastAsia="ko-KR"/>
        </w:rPr>
        <w:t xml:space="preserve"> restricted </w:t>
      </w:r>
      <w:r w:rsidR="00CD0877">
        <w:rPr>
          <w:rFonts w:eastAsia="Times New Roman"/>
          <w:color w:val="000000" w:themeColor="text1"/>
          <w:sz w:val="20"/>
          <w:lang w:eastAsia="ko-KR"/>
        </w:rPr>
        <w:t>to</w:t>
      </w:r>
      <w:r w:rsidR="00CD0877" w:rsidRPr="00F46A03">
        <w:rPr>
          <w:rFonts w:eastAsia="Times New Roman"/>
          <w:color w:val="000000" w:themeColor="text1"/>
          <w:sz w:val="20"/>
          <w:lang w:eastAsia="ko-KR"/>
        </w:rPr>
        <w:t xml:space="preserve"> </w:t>
      </w:r>
      <w:r w:rsidRPr="00F46A03">
        <w:rPr>
          <w:rFonts w:eastAsia="Times New Roman"/>
          <w:color w:val="000000" w:themeColor="text1"/>
          <w:sz w:val="20"/>
          <w:lang w:eastAsia="ko-KR"/>
        </w:rPr>
        <w:t>positioning purpose</w:t>
      </w:r>
      <w:r w:rsidR="00CD0877">
        <w:rPr>
          <w:rFonts w:eastAsia="Times New Roman"/>
          <w:color w:val="000000" w:themeColor="text1"/>
          <w:sz w:val="20"/>
          <w:lang w:eastAsia="ko-KR"/>
        </w:rPr>
        <w:t>s</w:t>
      </w:r>
      <w:r w:rsidRPr="00F46A03">
        <w:rPr>
          <w:rFonts w:eastAsia="Times New Roman"/>
          <w:color w:val="000000" w:themeColor="text1"/>
          <w:sz w:val="20"/>
          <w:lang w:eastAsia="ko-KR"/>
        </w:rPr>
        <w:t xml:space="preserve"> or unlicensed-band. Considering that Rel-17 enhancements targets for general purposes, it is reasonable to set baseline scheme as Rel-15 SRS.</w:t>
      </w:r>
    </w:p>
    <w:p w14:paraId="0E06C541" w14:textId="767D266D" w:rsidR="00DB4150" w:rsidRPr="009B5067" w:rsidRDefault="639A35E7" w:rsidP="000A5409">
      <w:pPr>
        <w:pStyle w:val="a4"/>
        <w:numPr>
          <w:ilvl w:val="0"/>
          <w:numId w:val="3"/>
        </w:numPr>
        <w:ind w:leftChars="0"/>
        <w:jc w:val="both"/>
        <w:rPr>
          <w:szCs w:val="22"/>
        </w:rPr>
      </w:pPr>
      <w:r w:rsidRPr="00F46A03">
        <w:rPr>
          <w:rFonts w:eastAsia="Times New Roman"/>
          <w:color w:val="000000" w:themeColor="text1"/>
          <w:sz w:val="20"/>
          <w:lang w:eastAsia="ko-KR"/>
        </w:rPr>
        <w:t>UE antenna configuration</w:t>
      </w:r>
      <w:r w:rsidR="00F46A03">
        <w:rPr>
          <w:rFonts w:eastAsia="Times New Roman"/>
          <w:color w:val="000000" w:themeColor="text1"/>
          <w:sz w:val="20"/>
          <w:lang w:eastAsia="ko-KR"/>
        </w:rPr>
        <w:t xml:space="preserve">: </w:t>
      </w:r>
      <w:r w:rsidR="00CD0877">
        <w:rPr>
          <w:rFonts w:eastAsia="Times New Roman"/>
          <w:color w:val="000000" w:themeColor="text1"/>
          <w:sz w:val="20"/>
          <w:lang w:eastAsia="ko-KR"/>
        </w:rPr>
        <w:t>O</w:t>
      </w:r>
      <w:r w:rsidRPr="00F46A03">
        <w:rPr>
          <w:rFonts w:eastAsia="Times New Roman"/>
          <w:color w:val="000000" w:themeColor="text1"/>
          <w:sz w:val="20"/>
          <w:lang w:eastAsia="ko-KR"/>
        </w:rPr>
        <w:t>mni antenna configuration at the UE side should be enough in FR1.</w:t>
      </w:r>
    </w:p>
    <w:p w14:paraId="0593C151" w14:textId="41B25D97" w:rsidR="00DB4150" w:rsidRPr="009B5067" w:rsidRDefault="639A35E7" w:rsidP="000A5409">
      <w:pPr>
        <w:pStyle w:val="a4"/>
        <w:numPr>
          <w:ilvl w:val="0"/>
          <w:numId w:val="3"/>
        </w:numPr>
        <w:ind w:leftChars="0"/>
        <w:jc w:val="both"/>
        <w:rPr>
          <w:szCs w:val="22"/>
        </w:rPr>
      </w:pPr>
      <w:r w:rsidRPr="00F46A03">
        <w:rPr>
          <w:rFonts w:eastAsia="Times New Roman"/>
          <w:color w:val="000000" w:themeColor="text1"/>
          <w:sz w:val="20"/>
          <w:lang w:eastAsia="ko-KR"/>
        </w:rPr>
        <w:t>SRS periodicity</w:t>
      </w:r>
      <w:r w:rsidR="00F46A03">
        <w:rPr>
          <w:rFonts w:eastAsia="Times New Roman"/>
          <w:color w:val="000000" w:themeColor="text1"/>
          <w:sz w:val="20"/>
          <w:lang w:eastAsia="ko-KR"/>
        </w:rPr>
        <w:t xml:space="preserve">: </w:t>
      </w:r>
      <w:r w:rsidRPr="00F46A03">
        <w:rPr>
          <w:rFonts w:eastAsia="Times New Roman"/>
          <w:color w:val="000000" w:themeColor="text1"/>
          <w:sz w:val="20"/>
          <w:lang w:eastAsia="ko-KR"/>
        </w:rPr>
        <w:t>For SRS periodicity, 4 slots are fine as a baseline, but other options are not precluded if needed, e.g., smaller value such as 1 slot to evaluate the performance of SRS time bundling. Regarding the note, the meaning of “SRS triggering may be aperiodic” is not clear</w:t>
      </w:r>
      <w:r w:rsidR="00F46A03">
        <w:rPr>
          <w:rFonts w:eastAsia="Times New Roman"/>
          <w:color w:val="000000" w:themeColor="text1"/>
          <w:sz w:val="20"/>
          <w:lang w:eastAsia="ko-KR"/>
        </w:rPr>
        <w:t xml:space="preserve"> for LLS evaluation.</w:t>
      </w:r>
    </w:p>
    <w:p w14:paraId="68F2D72E" w14:textId="66816CE4" w:rsidR="00DB4150" w:rsidRPr="009B5067" w:rsidRDefault="639A35E7" w:rsidP="00CD0877">
      <w:pPr>
        <w:jc w:val="both"/>
      </w:pPr>
      <w:r w:rsidRPr="00F46A03">
        <w:rPr>
          <w:rFonts w:eastAsia="Times New Roman"/>
          <w:sz w:val="20"/>
          <w:lang w:eastAsia="ko-KR"/>
        </w:rPr>
        <w:t>In summary, our proposal can be arranged by modifying the proposal of phase 2 EVM discussion for SRS enhancement in Rel-17 as follows:</w:t>
      </w:r>
    </w:p>
    <w:p w14:paraId="31551E8C" w14:textId="642ABACD" w:rsidR="00DB4150" w:rsidRPr="00BC61E5" w:rsidRDefault="639A35E7" w:rsidP="000A5409">
      <w:pPr>
        <w:jc w:val="both"/>
        <w:rPr>
          <w:rFonts w:eastAsia="Times New Roman"/>
          <w:b/>
          <w:sz w:val="20"/>
          <w:u w:val="single"/>
          <w:lang w:eastAsia="ko-KR"/>
        </w:rPr>
      </w:pPr>
      <w:r w:rsidRPr="00BC61E5">
        <w:rPr>
          <w:rFonts w:eastAsia="Times New Roman"/>
          <w:b/>
          <w:sz w:val="20"/>
          <w:u w:val="single"/>
          <w:lang w:eastAsia="ko-KR"/>
        </w:rPr>
        <w:t xml:space="preserve">Proposal 4. </w:t>
      </w:r>
      <w:r w:rsidRPr="00BC61E5">
        <w:rPr>
          <w:rFonts w:eastAsia="Times New Roman"/>
          <w:sz w:val="20"/>
          <w:u w:val="single"/>
          <w:lang w:eastAsia="ko-KR"/>
        </w:rPr>
        <w:t>Adopt the following LLS assumptions at least for SRS enhancements on coverage/capacity in Rel-1</w:t>
      </w:r>
      <w:r w:rsidRPr="00BC61E5">
        <w:rPr>
          <w:rFonts w:eastAsia="Times New Roman"/>
          <w:b/>
          <w:sz w:val="20"/>
          <w:u w:val="single"/>
          <w:lang w:eastAsia="ko-KR"/>
        </w:rPr>
        <w:t>7.</w:t>
      </w:r>
    </w:p>
    <w:tbl>
      <w:tblPr>
        <w:tblStyle w:val="a6"/>
        <w:tblW w:w="9630" w:type="dxa"/>
        <w:tblLook w:val="04A0" w:firstRow="1" w:lastRow="0" w:firstColumn="1" w:lastColumn="0" w:noHBand="0" w:noVBand="1"/>
      </w:tblPr>
      <w:tblGrid>
        <w:gridCol w:w="3360"/>
        <w:gridCol w:w="6270"/>
      </w:tblGrid>
      <w:tr w:rsidR="639A35E7" w14:paraId="404D8D6E" w14:textId="77777777" w:rsidTr="00BC61E5">
        <w:tc>
          <w:tcPr>
            <w:tcW w:w="3360" w:type="dxa"/>
          </w:tcPr>
          <w:p w14:paraId="6D295D61" w14:textId="0CA2BFFD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b/>
                <w:bCs/>
                <w:sz w:val="20"/>
              </w:rPr>
              <w:t>Parameter</w:t>
            </w:r>
          </w:p>
        </w:tc>
        <w:tc>
          <w:tcPr>
            <w:tcW w:w="6270" w:type="dxa"/>
          </w:tcPr>
          <w:p w14:paraId="693D89C8" w14:textId="2C0EFB0A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b/>
                <w:bCs/>
                <w:sz w:val="20"/>
              </w:rPr>
              <w:t>Value</w:t>
            </w:r>
          </w:p>
        </w:tc>
      </w:tr>
      <w:tr w:rsidR="639A35E7" w14:paraId="409C2B39" w14:textId="77777777" w:rsidTr="00BC61E5">
        <w:tc>
          <w:tcPr>
            <w:tcW w:w="3360" w:type="dxa"/>
          </w:tcPr>
          <w:p w14:paraId="4ADA587B" w14:textId="079D676C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Metric</w:t>
            </w:r>
          </w:p>
        </w:tc>
        <w:tc>
          <w:tcPr>
            <w:tcW w:w="6270" w:type="dxa"/>
          </w:tcPr>
          <w:p w14:paraId="6279ABF8" w14:textId="2F822A0C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UL/DL BLER or throughput</w:t>
            </w:r>
          </w:p>
          <w:p w14:paraId="484D141F" w14:textId="4A4BEC76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Note: Other metrics like MSE can be considered optionally. </w:t>
            </w:r>
          </w:p>
        </w:tc>
      </w:tr>
      <w:tr w:rsidR="639A35E7" w14:paraId="5EC9C963" w14:textId="77777777" w:rsidTr="00BC61E5">
        <w:tc>
          <w:tcPr>
            <w:tcW w:w="3360" w:type="dxa"/>
          </w:tcPr>
          <w:p w14:paraId="5695D504" w14:textId="4D85FA3F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Baseline</w:t>
            </w:r>
          </w:p>
        </w:tc>
        <w:tc>
          <w:tcPr>
            <w:tcW w:w="6270" w:type="dxa"/>
          </w:tcPr>
          <w:p w14:paraId="31476663" w14:textId="7F227E9B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Rel-15 SRS </w:t>
            </w:r>
            <w:r w:rsidRPr="00BC61E5">
              <w:rPr>
                <w:rFonts w:eastAsia="Times New Roman"/>
                <w:dstrike/>
                <w:sz w:val="20"/>
              </w:rPr>
              <w:t>+ FG 10-11</w:t>
            </w:r>
            <w:r w:rsidRPr="00F46A03">
              <w:rPr>
                <w:rFonts w:eastAsia="Times New Roman"/>
                <w:strike/>
                <w:sz w:val="20"/>
              </w:rPr>
              <w:t>.</w:t>
            </w:r>
            <w:r w:rsidRPr="00F46A03">
              <w:rPr>
                <w:rFonts w:eastAsia="Times New Roman"/>
                <w:sz w:val="20"/>
              </w:rPr>
              <w:t xml:space="preserve"> Companies to state the detailed configuration used as baseline scheme.</w:t>
            </w:r>
          </w:p>
        </w:tc>
      </w:tr>
      <w:tr w:rsidR="639A35E7" w14:paraId="0FB4B909" w14:textId="77777777" w:rsidTr="00BC61E5">
        <w:tc>
          <w:tcPr>
            <w:tcW w:w="3360" w:type="dxa"/>
          </w:tcPr>
          <w:p w14:paraId="14F18201" w14:textId="4E6659E5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Carrier frequency, SCS, System BW</w:t>
            </w:r>
          </w:p>
        </w:tc>
        <w:tc>
          <w:tcPr>
            <w:tcW w:w="6270" w:type="dxa"/>
          </w:tcPr>
          <w:p w14:paraId="170BE11B" w14:textId="729885B7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FR1: 3.5GHz or 4GHz, 30kHz, 20, 40 or 100 MHz</w:t>
            </w:r>
          </w:p>
          <w:p w14:paraId="0A4462FA" w14:textId="2CCA031A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FR2: 30 GHz, 120kHz</w:t>
            </w:r>
          </w:p>
        </w:tc>
      </w:tr>
      <w:tr w:rsidR="639A35E7" w14:paraId="20CE98E8" w14:textId="77777777" w:rsidTr="00BC61E5">
        <w:tc>
          <w:tcPr>
            <w:tcW w:w="3360" w:type="dxa"/>
          </w:tcPr>
          <w:p w14:paraId="2C5B8476" w14:textId="7A2568AB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Channel model</w:t>
            </w:r>
          </w:p>
        </w:tc>
        <w:tc>
          <w:tcPr>
            <w:tcW w:w="6270" w:type="dxa"/>
          </w:tcPr>
          <w:p w14:paraId="5B2ABCD6" w14:textId="09B6045B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CDL-B or CDL-C in TR 38.901 with 30ns or 300ns delay spread as baseline</w:t>
            </w:r>
          </w:p>
          <w:p w14:paraId="229DA105" w14:textId="26F9E458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Note: other delay spread is not precluded. </w:t>
            </w:r>
          </w:p>
          <w:p w14:paraId="1EF42EBD" w14:textId="40B3C875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FFS: whether and how to define scenario</w:t>
            </w:r>
          </w:p>
          <w:p w14:paraId="744B3FF9" w14:textId="4D11FB6D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FFS: whether and how to use CDL in MU-MIMO</w:t>
            </w:r>
          </w:p>
        </w:tc>
      </w:tr>
      <w:tr w:rsidR="639A35E7" w14:paraId="0F873B12" w14:textId="77777777" w:rsidTr="00BC61E5">
        <w:tc>
          <w:tcPr>
            <w:tcW w:w="3360" w:type="dxa"/>
          </w:tcPr>
          <w:p w14:paraId="5F08262A" w14:textId="79DF13E6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UE speed</w:t>
            </w:r>
          </w:p>
        </w:tc>
        <w:tc>
          <w:tcPr>
            <w:tcW w:w="6270" w:type="dxa"/>
          </w:tcPr>
          <w:p w14:paraId="57646D5E" w14:textId="59119E22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3km/h , 30km/h or 120km/h </w:t>
            </w:r>
          </w:p>
        </w:tc>
      </w:tr>
      <w:tr w:rsidR="639A35E7" w14:paraId="25BEE3F2" w14:textId="77777777" w:rsidTr="00BC61E5">
        <w:tc>
          <w:tcPr>
            <w:tcW w:w="3360" w:type="dxa"/>
          </w:tcPr>
          <w:p w14:paraId="6CF6C778" w14:textId="0FAFACC8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lastRenderedPageBreak/>
              <w:t xml:space="preserve">Number of UE antennas </w:t>
            </w:r>
          </w:p>
        </w:tc>
        <w:tc>
          <w:tcPr>
            <w:tcW w:w="6270" w:type="dxa"/>
          </w:tcPr>
          <w:p w14:paraId="5DB61FB4" w14:textId="769B5264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1T4R, 2T4R or 4T4R</w:t>
            </w:r>
          </w:p>
        </w:tc>
      </w:tr>
      <w:tr w:rsidR="639A35E7" w14:paraId="0F2E6F9E" w14:textId="77777777" w:rsidTr="00BC61E5">
        <w:tc>
          <w:tcPr>
            <w:tcW w:w="3360" w:type="dxa"/>
          </w:tcPr>
          <w:p w14:paraId="7E93D58F" w14:textId="1A7D02C0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Number of gNB antennas</w:t>
            </w:r>
          </w:p>
        </w:tc>
        <w:tc>
          <w:tcPr>
            <w:tcW w:w="6270" w:type="dxa"/>
          </w:tcPr>
          <w:p w14:paraId="526A2045" w14:textId="19A0DBC5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32T32R or 64T64R</w:t>
            </w:r>
          </w:p>
        </w:tc>
      </w:tr>
      <w:tr w:rsidR="639A35E7" w14:paraId="2B9E1021" w14:textId="77777777" w:rsidTr="00BC61E5">
        <w:tc>
          <w:tcPr>
            <w:tcW w:w="3360" w:type="dxa"/>
          </w:tcPr>
          <w:p w14:paraId="269B9A00" w14:textId="043BD726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UE antenna configuration</w:t>
            </w:r>
          </w:p>
        </w:tc>
        <w:tc>
          <w:tcPr>
            <w:tcW w:w="6270" w:type="dxa"/>
          </w:tcPr>
          <w:p w14:paraId="3B60F2EA" w14:textId="1D2DE344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FR1: </w:t>
            </w:r>
            <w:proofErr w:type="spellStart"/>
            <w:r w:rsidRPr="00F46A03">
              <w:rPr>
                <w:rFonts w:eastAsia="Times New Roman"/>
                <w:sz w:val="20"/>
              </w:rPr>
              <w:t>omni</w:t>
            </w:r>
            <w:proofErr w:type="spellEnd"/>
            <w:r w:rsidRPr="00F46A03">
              <w:rPr>
                <w:rFonts w:eastAsia="Times New Roman"/>
                <w:sz w:val="20"/>
              </w:rPr>
              <w:t xml:space="preserve"> as baseline</w:t>
            </w:r>
          </w:p>
          <w:p w14:paraId="6A7C5990" w14:textId="77777777" w:rsidR="00F46A03" w:rsidRPr="00BC61E5" w:rsidRDefault="639A35E7" w:rsidP="00F46A03">
            <w:pPr>
              <w:pStyle w:val="a4"/>
              <w:numPr>
                <w:ilvl w:val="1"/>
                <w:numId w:val="2"/>
              </w:numPr>
              <w:ind w:leftChars="0"/>
              <w:rPr>
                <w:dstrike/>
                <w:szCs w:val="22"/>
              </w:rPr>
            </w:pPr>
            <w:r w:rsidRPr="00BC61E5">
              <w:rPr>
                <w:rFonts w:eastAsia="Times New Roman"/>
                <w:dstrike/>
                <w:sz w:val="20"/>
              </w:rPr>
              <w:t>FFS: whether direction can also be considered for more than 2 antennas</w:t>
            </w:r>
          </w:p>
          <w:p w14:paraId="6061CCD7" w14:textId="5C50C558" w:rsidR="639A35E7" w:rsidRPr="00F46A03" w:rsidRDefault="639A35E7" w:rsidP="00BC61E5">
            <w:pPr>
              <w:rPr>
                <w:szCs w:val="22"/>
              </w:rPr>
            </w:pPr>
            <w:r w:rsidRPr="00BC61E5">
              <w:rPr>
                <w:rFonts w:eastAsia="Times New Roman"/>
                <w:sz w:val="20"/>
              </w:rPr>
              <w:t>FR2: directional</w:t>
            </w:r>
          </w:p>
        </w:tc>
      </w:tr>
      <w:tr w:rsidR="639A35E7" w14:paraId="4A3A9AEA" w14:textId="77777777" w:rsidTr="00BC61E5">
        <w:tc>
          <w:tcPr>
            <w:tcW w:w="3360" w:type="dxa"/>
          </w:tcPr>
          <w:p w14:paraId="4A2C9FC6" w14:textId="0CD3C467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Rank, </w:t>
            </w:r>
            <w:proofErr w:type="spellStart"/>
            <w:r w:rsidRPr="00F46A03">
              <w:rPr>
                <w:rFonts w:eastAsia="Times New Roman"/>
                <w:sz w:val="20"/>
              </w:rPr>
              <w:t>precoder</w:t>
            </w:r>
            <w:proofErr w:type="spellEnd"/>
            <w:r w:rsidRPr="00F46A03">
              <w:rPr>
                <w:rFonts w:eastAsia="Times New Roman"/>
                <w:sz w:val="20"/>
              </w:rPr>
              <w:t xml:space="preserve"> and MCS </w:t>
            </w:r>
          </w:p>
        </w:tc>
        <w:tc>
          <w:tcPr>
            <w:tcW w:w="6270" w:type="dxa"/>
          </w:tcPr>
          <w:p w14:paraId="187B889E" w14:textId="5EFE66CA" w:rsidR="639A35E7" w:rsidRDefault="639A35E7" w:rsidP="00F46A03">
            <w:pPr>
              <w:jc w:val="both"/>
            </w:pPr>
            <w:proofErr w:type="spellStart"/>
            <w:r w:rsidRPr="00F46A03">
              <w:rPr>
                <w:rFonts w:eastAsia="Times New Roman"/>
                <w:sz w:val="20"/>
              </w:rPr>
              <w:t>Precoder</w:t>
            </w:r>
            <w:proofErr w:type="spellEnd"/>
            <w:r w:rsidRPr="00F46A03">
              <w:rPr>
                <w:rFonts w:eastAsia="Times New Roman"/>
                <w:sz w:val="20"/>
              </w:rPr>
              <w:t xml:space="preserve"> is adaptive. Rank/MCS can be adaptive or fixed.</w:t>
            </w:r>
          </w:p>
        </w:tc>
      </w:tr>
      <w:tr w:rsidR="639A35E7" w14:paraId="17FD2A87" w14:textId="77777777" w:rsidTr="00BC61E5">
        <w:tc>
          <w:tcPr>
            <w:tcW w:w="3360" w:type="dxa"/>
          </w:tcPr>
          <w:p w14:paraId="38A47D94" w14:textId="2AF8B3CD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Precoding granularity</w:t>
            </w:r>
          </w:p>
        </w:tc>
        <w:tc>
          <w:tcPr>
            <w:tcW w:w="6270" w:type="dxa"/>
          </w:tcPr>
          <w:p w14:paraId="65CF6869" w14:textId="34D15599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Fixed: 2, 4 or wideband for DL, wideband for UL.</w:t>
            </w:r>
          </w:p>
        </w:tc>
      </w:tr>
      <w:tr w:rsidR="639A35E7" w14:paraId="155ADC55" w14:textId="77777777" w:rsidTr="00BC61E5">
        <w:tc>
          <w:tcPr>
            <w:tcW w:w="3360" w:type="dxa"/>
          </w:tcPr>
          <w:p w14:paraId="1DF2C6CB" w14:textId="21F5F7C5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 xml:space="preserve">SRS periodicity </w:t>
            </w:r>
          </w:p>
        </w:tc>
        <w:tc>
          <w:tcPr>
            <w:tcW w:w="6270" w:type="dxa"/>
          </w:tcPr>
          <w:p w14:paraId="20CC1C34" w14:textId="15FA2EBB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Companies to state the used SRS periodicity.</w:t>
            </w:r>
          </w:p>
          <w:p w14:paraId="3A7D4AF1" w14:textId="1E1C06E0" w:rsidR="639A35E7" w:rsidRPr="00BC61E5" w:rsidRDefault="639A35E7" w:rsidP="00F46A03">
            <w:pPr>
              <w:jc w:val="both"/>
              <w:rPr>
                <w:dstrike/>
              </w:rPr>
            </w:pPr>
            <w:r w:rsidRPr="00BC61E5">
              <w:rPr>
                <w:rFonts w:eastAsia="Times New Roman"/>
                <w:dstrike/>
                <w:sz w:val="20"/>
              </w:rPr>
              <w:t xml:space="preserve">Note: SRS triggering may be aperiodic. </w:t>
            </w:r>
          </w:p>
        </w:tc>
      </w:tr>
      <w:tr w:rsidR="639A35E7" w14:paraId="0C8085C0" w14:textId="77777777" w:rsidTr="00BC61E5">
        <w:tc>
          <w:tcPr>
            <w:tcW w:w="3360" w:type="dxa"/>
          </w:tcPr>
          <w:p w14:paraId="4283D566" w14:textId="56933C1E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SRS Comb</w:t>
            </w:r>
          </w:p>
        </w:tc>
        <w:tc>
          <w:tcPr>
            <w:tcW w:w="6270" w:type="dxa"/>
          </w:tcPr>
          <w:p w14:paraId="395F075F" w14:textId="29581880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Comb 2 or 4</w:t>
            </w:r>
          </w:p>
        </w:tc>
      </w:tr>
      <w:tr w:rsidR="639A35E7" w14:paraId="7D1C9942" w14:textId="77777777" w:rsidTr="00BC61E5">
        <w:tc>
          <w:tcPr>
            <w:tcW w:w="3360" w:type="dxa"/>
          </w:tcPr>
          <w:p w14:paraId="04DA0714" w14:textId="6EAEFC24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SRS frequency hopping</w:t>
            </w:r>
          </w:p>
        </w:tc>
        <w:tc>
          <w:tcPr>
            <w:tcW w:w="6270" w:type="dxa"/>
          </w:tcPr>
          <w:p w14:paraId="748ECED1" w14:textId="14658C37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Companies to state whether SRS frequency hopping is enabled and the hopping pattern if so.</w:t>
            </w:r>
          </w:p>
        </w:tc>
      </w:tr>
      <w:tr w:rsidR="639A35E7" w14:paraId="3F4C7790" w14:textId="77777777" w:rsidTr="00BC61E5">
        <w:tc>
          <w:tcPr>
            <w:tcW w:w="3360" w:type="dxa"/>
          </w:tcPr>
          <w:p w14:paraId="75D70DF4" w14:textId="414E8A03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DL SNR</w:t>
            </w:r>
          </w:p>
        </w:tc>
        <w:tc>
          <w:tcPr>
            <w:tcW w:w="6270" w:type="dxa"/>
          </w:tcPr>
          <w:p w14:paraId="2FFFF206" w14:textId="2F29528C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Companies to state the used difference between DL SNR and UL SNR</w:t>
            </w:r>
          </w:p>
        </w:tc>
      </w:tr>
      <w:tr w:rsidR="639A35E7" w14:paraId="41A8B6DE" w14:textId="77777777" w:rsidTr="00BC61E5">
        <w:tc>
          <w:tcPr>
            <w:tcW w:w="3360" w:type="dxa"/>
          </w:tcPr>
          <w:p w14:paraId="2735D850" w14:textId="2DC20578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Phase coherency</w:t>
            </w:r>
          </w:p>
        </w:tc>
        <w:tc>
          <w:tcPr>
            <w:tcW w:w="6270" w:type="dxa"/>
          </w:tcPr>
          <w:p w14:paraId="7E3CE6EF" w14:textId="6EB75483" w:rsidR="639A35E7" w:rsidRDefault="639A35E7" w:rsidP="00F46A03">
            <w:pPr>
              <w:jc w:val="both"/>
            </w:pPr>
            <w:r w:rsidRPr="00F46A03">
              <w:rPr>
                <w:rFonts w:eastAsia="Times New Roman"/>
                <w:sz w:val="20"/>
              </w:rPr>
              <w:t>Companies to state whether the phase coherency in time domain is modelled and if so, how.</w:t>
            </w:r>
          </w:p>
        </w:tc>
      </w:tr>
    </w:tbl>
    <w:p w14:paraId="24CCBC67" w14:textId="717804D3" w:rsidR="639A35E7" w:rsidRPr="00F46A03" w:rsidRDefault="639A35E7">
      <w:pPr>
        <w:rPr>
          <w:lang w:eastAsia="ko-KR"/>
        </w:rPr>
      </w:pPr>
      <w:r w:rsidRPr="00F46A03">
        <w:rPr>
          <w:rFonts w:eastAsia="Times New Roman"/>
          <w:szCs w:val="22"/>
          <w:lang w:eastAsia="ko-KR"/>
        </w:rPr>
        <w:t xml:space="preserve"> </w:t>
      </w:r>
    </w:p>
    <w:p w14:paraId="6AB8455B" w14:textId="4FD5330C" w:rsidR="00203D14" w:rsidRDefault="00203D14" w:rsidP="00203D14">
      <w:pPr>
        <w:pStyle w:val="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1A818761" w14:textId="1BEF1E0B" w:rsidR="00203D14" w:rsidRDefault="00203D14" w:rsidP="00F46A03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are given: </w:t>
      </w:r>
    </w:p>
    <w:p w14:paraId="72439453" w14:textId="74C007FE" w:rsidR="00203D14" w:rsidRPr="001672A2" w:rsidRDefault="00203D14" w:rsidP="00203D14">
      <w:pPr>
        <w:pStyle w:val="0Maintext"/>
        <w:ind w:firstLine="0"/>
        <w:rPr>
          <w:u w:val="single"/>
        </w:rPr>
      </w:pPr>
      <w:r w:rsidRPr="001672A2">
        <w:rPr>
          <w:b/>
          <w:u w:val="single"/>
        </w:rPr>
        <w:t>Proposal</w:t>
      </w:r>
      <w:r>
        <w:rPr>
          <w:b/>
          <w:u w:val="single"/>
        </w:rPr>
        <w:t xml:space="preserve"> 1.</w:t>
      </w:r>
      <w:r w:rsidRPr="001672A2">
        <w:rPr>
          <w:u w:val="single"/>
        </w:rPr>
        <w:t xml:space="preserve"> Consider the following options for more flexible triggering on aperiodic SRS</w:t>
      </w:r>
    </w:p>
    <w:p w14:paraId="259E26CB" w14:textId="77777777" w:rsidR="00203D14" w:rsidRPr="00AB782F" w:rsidRDefault="00203D14" w:rsidP="00203D14">
      <w:pPr>
        <w:pStyle w:val="0Maintext"/>
        <w:numPr>
          <w:ilvl w:val="0"/>
          <w:numId w:val="19"/>
        </w:numPr>
      </w:pPr>
      <w:r w:rsidRPr="00AB782F">
        <w:t>Option 1: dynamic triggering offset control (e.g., DCI) – flexible control of slot offset via DCI</w:t>
      </w:r>
    </w:p>
    <w:p w14:paraId="3F43104A" w14:textId="77777777" w:rsidR="00203D14" w:rsidRPr="00AB782F" w:rsidRDefault="00203D14" w:rsidP="00203D14">
      <w:pPr>
        <w:pStyle w:val="0Maintext"/>
        <w:numPr>
          <w:ilvl w:val="0"/>
          <w:numId w:val="19"/>
        </w:numPr>
      </w:pPr>
      <w:r w:rsidRPr="00AB782F">
        <w:t xml:space="preserve">Option 2: Automatic delaying of SRS transmission (similar as LTE SRS carrier switching) </w:t>
      </w:r>
    </w:p>
    <w:p w14:paraId="0AD4B8DC" w14:textId="77777777" w:rsidR="00203D14" w:rsidRDefault="00203D14" w:rsidP="00203D14">
      <w:pPr>
        <w:pStyle w:val="0Maintext"/>
        <w:numPr>
          <w:ilvl w:val="0"/>
          <w:numId w:val="19"/>
        </w:numPr>
      </w:pPr>
      <w:r w:rsidRPr="00AB782F">
        <w:t>Option 3: Group-common DCI for SRS triggering for PDCCH overhead reduction</w:t>
      </w:r>
    </w:p>
    <w:p w14:paraId="30437068" w14:textId="44B64484" w:rsidR="00203D14" w:rsidRPr="00717D77" w:rsidRDefault="00203D14" w:rsidP="00203D14">
      <w:pPr>
        <w:pStyle w:val="0Maintext"/>
        <w:ind w:firstLine="0"/>
        <w:rPr>
          <w:b/>
          <w:u w:val="single"/>
        </w:rPr>
      </w:pPr>
      <w:r w:rsidRPr="00717D77">
        <w:rPr>
          <w:b/>
          <w:u w:val="single"/>
        </w:rPr>
        <w:t>Proposal</w:t>
      </w:r>
      <w:r>
        <w:rPr>
          <w:b/>
          <w:u w:val="single"/>
        </w:rPr>
        <w:t xml:space="preserve"> 2.</w:t>
      </w:r>
      <w:r w:rsidRPr="00717D77">
        <w:rPr>
          <w:rFonts w:hint="eastAsia"/>
          <w:b/>
          <w:u w:val="single"/>
        </w:rPr>
        <w:t xml:space="preserve"> </w:t>
      </w:r>
      <w:r w:rsidRPr="00717D77">
        <w:rPr>
          <w:u w:val="single"/>
        </w:rPr>
        <w:t>Consider practical UE antenna assumptions to specify and evaluate the required combinations of SRS resource set and SRS resource(s) per set for SRS switching for up to 8 antennas</w:t>
      </w:r>
    </w:p>
    <w:p w14:paraId="263C17D4" w14:textId="77777777" w:rsidR="00203D14" w:rsidRDefault="00203D14" w:rsidP="00203D14">
      <w:pPr>
        <w:pStyle w:val="0Maintext"/>
        <w:numPr>
          <w:ilvl w:val="0"/>
          <w:numId w:val="20"/>
        </w:numPr>
      </w:pPr>
      <w:r>
        <w:rPr>
          <w:rFonts w:hint="eastAsia"/>
          <w:lang w:eastAsia="ko-KR"/>
        </w:rPr>
        <w:t>6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Rx</w:t>
      </w:r>
      <w:r>
        <w:rPr>
          <w:lang w:eastAsia="ko-KR"/>
        </w:rPr>
        <w:t xml:space="preserve"> cases comprising 3 panels are important from commercial perspective</w:t>
      </w:r>
    </w:p>
    <w:p w14:paraId="6A6AF5E2" w14:textId="77777777" w:rsidR="00203D14" w:rsidRDefault="00203D14" w:rsidP="00203D14">
      <w:pPr>
        <w:pStyle w:val="0Maintext"/>
        <w:numPr>
          <w:ilvl w:val="0"/>
          <w:numId w:val="20"/>
        </w:numPr>
      </w:pPr>
      <w:r>
        <w:rPr>
          <w:rFonts w:hint="eastAsia"/>
          <w:lang w:eastAsia="ko-KR"/>
        </w:rPr>
        <w:t>Omni-directional antenna should be the baseline for FR1</w:t>
      </w:r>
    </w:p>
    <w:p w14:paraId="2467BF16" w14:textId="77777777" w:rsidR="00203D14" w:rsidRDefault="00203D14" w:rsidP="00203D14">
      <w:pPr>
        <w:pStyle w:val="0Maintext"/>
        <w:numPr>
          <w:ilvl w:val="0"/>
          <w:numId w:val="20"/>
        </w:numPr>
      </w:pPr>
      <w:r>
        <w:rPr>
          <w:lang w:eastAsia="ko-KR"/>
        </w:rPr>
        <w:t xml:space="preserve">Do not consider 4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cases in FR1</w:t>
      </w:r>
    </w:p>
    <w:p w14:paraId="04478FFF" w14:textId="5D018490" w:rsidR="00203D14" w:rsidRPr="00717D77" w:rsidRDefault="00203D14" w:rsidP="00203D14">
      <w:pPr>
        <w:pStyle w:val="0Maintext"/>
        <w:ind w:firstLine="0"/>
        <w:rPr>
          <w:u w:val="single"/>
        </w:rPr>
      </w:pPr>
      <w:r w:rsidRPr="00717D77">
        <w:rPr>
          <w:rFonts w:hint="eastAsia"/>
          <w:b/>
          <w:u w:val="single"/>
        </w:rPr>
        <w:t>Proposal</w:t>
      </w:r>
      <w:r>
        <w:rPr>
          <w:b/>
          <w:u w:val="single"/>
        </w:rPr>
        <w:t xml:space="preserve"> 3.</w:t>
      </w:r>
      <w:r w:rsidRPr="00717D77">
        <w:rPr>
          <w:rFonts w:hint="eastAsia"/>
          <w:u w:val="single"/>
        </w:rPr>
        <w:t xml:space="preserve"> </w:t>
      </w:r>
      <w:r w:rsidRPr="00717D77">
        <w:rPr>
          <w:u w:val="single"/>
        </w:rPr>
        <w:t>Consider the following options for SRS capacity/coverage enhancements in Rel-17</w:t>
      </w:r>
    </w:p>
    <w:p w14:paraId="486BDFE2" w14:textId="4068D455" w:rsidR="00203D14" w:rsidRPr="00A2176C" w:rsidRDefault="00203D14" w:rsidP="00203D14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>Option 1: Bundling (e.g., time and/or frequency-domain bundling size)</w:t>
      </w:r>
    </w:p>
    <w:p w14:paraId="6D78CE6B" w14:textId="77777777" w:rsidR="00203D14" w:rsidRPr="00A2176C" w:rsidRDefault="00203D14" w:rsidP="00203D14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 xml:space="preserve">Option 2: partial sounding (e.g., </w:t>
      </w:r>
      <w:r>
        <w:rPr>
          <w:lang w:eastAsia="ko-KR"/>
        </w:rPr>
        <w:t>through i</w:t>
      </w:r>
      <w:r w:rsidRPr="00A2176C">
        <w:rPr>
          <w:lang w:eastAsia="ko-KR"/>
        </w:rPr>
        <w:t>nterpolation/extrapolation at the gNB based on partial sounding</w:t>
      </w:r>
      <w:r>
        <w:rPr>
          <w:lang w:eastAsia="ko-KR"/>
        </w:rPr>
        <w:t>)</w:t>
      </w:r>
    </w:p>
    <w:p w14:paraId="4E93DF99" w14:textId="77777777" w:rsidR="00203D14" w:rsidRDefault="00203D14" w:rsidP="00203D14">
      <w:pPr>
        <w:pStyle w:val="0Maintext"/>
        <w:numPr>
          <w:ilvl w:val="0"/>
          <w:numId w:val="21"/>
        </w:numPr>
        <w:rPr>
          <w:lang w:eastAsia="ko-KR"/>
        </w:rPr>
      </w:pPr>
      <w:r w:rsidRPr="00A2176C">
        <w:rPr>
          <w:lang w:eastAsia="ko-KR"/>
        </w:rPr>
        <w:t>Option 3: Increase repetition</w:t>
      </w:r>
    </w:p>
    <w:p w14:paraId="7C885F9A" w14:textId="3EAA5646" w:rsidR="00DB4150" w:rsidRPr="00F46A03" w:rsidRDefault="11FF0BBC">
      <w:pPr>
        <w:pStyle w:val="0Maintext"/>
        <w:ind w:firstLine="0"/>
        <w:rPr>
          <w:u w:val="single"/>
        </w:rPr>
      </w:pPr>
      <w:r w:rsidRPr="00F46A03">
        <w:rPr>
          <w:b/>
          <w:bCs/>
          <w:u w:val="single"/>
        </w:rPr>
        <w:t xml:space="preserve">Proposal 4. </w:t>
      </w:r>
      <w:r w:rsidR="53EEB080" w:rsidRPr="00F46A03">
        <w:rPr>
          <w:u w:val="single"/>
        </w:rPr>
        <w:t>Adopt the following LLS assumptions at least for SRS enhancements on coverage/capacity in Rel-17.</w:t>
      </w:r>
    </w:p>
    <w:p w14:paraId="54D6FCC0" w14:textId="3EAA5646" w:rsidR="53EEB080" w:rsidRPr="00F46A03" w:rsidRDefault="53EEB080" w:rsidP="00F46A03">
      <w:pPr>
        <w:pStyle w:val="0Maintext"/>
        <w:ind w:firstLine="0"/>
        <w:rPr>
          <w:u w:val="single"/>
        </w:rPr>
      </w:pPr>
    </w:p>
    <w:tbl>
      <w:tblPr>
        <w:tblStyle w:val="a6"/>
        <w:tblW w:w="9630" w:type="dxa"/>
        <w:tblLook w:val="04A0" w:firstRow="1" w:lastRow="0" w:firstColumn="1" w:lastColumn="0" w:noHBand="0" w:noVBand="1"/>
      </w:tblPr>
      <w:tblGrid>
        <w:gridCol w:w="3630"/>
        <w:gridCol w:w="6000"/>
      </w:tblGrid>
      <w:tr w:rsidR="11FF0BBC" w14:paraId="4A7F73E1" w14:textId="77777777" w:rsidTr="00BC61E5">
        <w:tc>
          <w:tcPr>
            <w:tcW w:w="3630" w:type="dxa"/>
          </w:tcPr>
          <w:p w14:paraId="5F108E62" w14:textId="41686968" w:rsidR="11FF0BBC" w:rsidRDefault="11FF0BBC" w:rsidP="00F46A03">
            <w:pPr>
              <w:jc w:val="both"/>
            </w:pPr>
            <w:r w:rsidRPr="00F46A03">
              <w:rPr>
                <w:b/>
                <w:bCs/>
                <w:sz w:val="20"/>
              </w:rPr>
              <w:lastRenderedPageBreak/>
              <w:t>Parameter</w:t>
            </w:r>
          </w:p>
        </w:tc>
        <w:tc>
          <w:tcPr>
            <w:tcW w:w="6000" w:type="dxa"/>
          </w:tcPr>
          <w:p w14:paraId="3BE86D3C" w14:textId="071814C6" w:rsidR="11FF0BBC" w:rsidRDefault="11FF0BBC" w:rsidP="00F46A03">
            <w:pPr>
              <w:jc w:val="both"/>
            </w:pPr>
            <w:r w:rsidRPr="00F46A03">
              <w:rPr>
                <w:b/>
                <w:bCs/>
                <w:sz w:val="20"/>
              </w:rPr>
              <w:t>Value</w:t>
            </w:r>
          </w:p>
        </w:tc>
      </w:tr>
      <w:tr w:rsidR="11FF0BBC" w14:paraId="5C69A83E" w14:textId="77777777" w:rsidTr="00BC61E5">
        <w:tc>
          <w:tcPr>
            <w:tcW w:w="3630" w:type="dxa"/>
          </w:tcPr>
          <w:p w14:paraId="053254EA" w14:textId="5BBF42B2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Metric</w:t>
            </w:r>
          </w:p>
        </w:tc>
        <w:tc>
          <w:tcPr>
            <w:tcW w:w="6000" w:type="dxa"/>
          </w:tcPr>
          <w:p w14:paraId="7DA3B292" w14:textId="6579E7FE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UL/DL BLER or throughput</w:t>
            </w:r>
          </w:p>
          <w:p w14:paraId="7C027070" w14:textId="470E1D6E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Note: Other metrics like MSE can be considered optionally. </w:t>
            </w:r>
          </w:p>
        </w:tc>
      </w:tr>
      <w:tr w:rsidR="11FF0BBC" w14:paraId="15794EEC" w14:textId="77777777" w:rsidTr="00BC61E5">
        <w:tc>
          <w:tcPr>
            <w:tcW w:w="3630" w:type="dxa"/>
          </w:tcPr>
          <w:p w14:paraId="5803B138" w14:textId="75F700B9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Baseline</w:t>
            </w:r>
          </w:p>
        </w:tc>
        <w:tc>
          <w:tcPr>
            <w:tcW w:w="6000" w:type="dxa"/>
          </w:tcPr>
          <w:p w14:paraId="198EB33B" w14:textId="36B27EBE" w:rsidR="11FF0BBC" w:rsidRDefault="11FF0BBC">
            <w:pPr>
              <w:jc w:val="both"/>
            </w:pPr>
            <w:r w:rsidRPr="00F46A03">
              <w:rPr>
                <w:sz w:val="20"/>
              </w:rPr>
              <w:t>Rel-15 SRS</w:t>
            </w:r>
            <w:r w:rsidR="00F46A03">
              <w:rPr>
                <w:sz w:val="20"/>
              </w:rPr>
              <w:t xml:space="preserve">: </w:t>
            </w:r>
            <w:r w:rsidRPr="00F46A03">
              <w:rPr>
                <w:sz w:val="20"/>
              </w:rPr>
              <w:t>Companies to state the detailed configuration used as baseline scheme.</w:t>
            </w:r>
          </w:p>
        </w:tc>
      </w:tr>
      <w:tr w:rsidR="11FF0BBC" w14:paraId="53B008C8" w14:textId="77777777" w:rsidTr="00BC61E5">
        <w:tc>
          <w:tcPr>
            <w:tcW w:w="3630" w:type="dxa"/>
          </w:tcPr>
          <w:p w14:paraId="5575ED08" w14:textId="5F811492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Carrier frequency, SCS, System BW</w:t>
            </w:r>
          </w:p>
        </w:tc>
        <w:tc>
          <w:tcPr>
            <w:tcW w:w="6000" w:type="dxa"/>
          </w:tcPr>
          <w:p w14:paraId="63FC66E7" w14:textId="51458CA7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FR1: 3.5GHz or 4GHz, 30kHz, 20, 40 or 100 MHz</w:t>
            </w:r>
          </w:p>
          <w:p w14:paraId="154EEE62" w14:textId="0FD767CB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FR2: 30 GHz, 120kHz</w:t>
            </w:r>
          </w:p>
        </w:tc>
      </w:tr>
      <w:tr w:rsidR="11FF0BBC" w14:paraId="3D2A0274" w14:textId="77777777" w:rsidTr="00BC61E5">
        <w:tc>
          <w:tcPr>
            <w:tcW w:w="3630" w:type="dxa"/>
          </w:tcPr>
          <w:p w14:paraId="08807908" w14:textId="3A1A57AB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Channel model</w:t>
            </w:r>
          </w:p>
        </w:tc>
        <w:tc>
          <w:tcPr>
            <w:tcW w:w="6000" w:type="dxa"/>
          </w:tcPr>
          <w:p w14:paraId="39C3F4E1" w14:textId="6386D257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CDL-B or CDL-C in TR 38.901 with 30ns or 300ns delay spread as baseline</w:t>
            </w:r>
          </w:p>
          <w:p w14:paraId="23BB0FE0" w14:textId="6F049F15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Note: other delay spread is not precluded. </w:t>
            </w:r>
          </w:p>
          <w:p w14:paraId="049EA6DA" w14:textId="2D11CC22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FFS: whether and how to define scenario</w:t>
            </w:r>
          </w:p>
          <w:p w14:paraId="39CDDD18" w14:textId="235B0B99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FFS: whether and how to use CDL in MU-MIMO</w:t>
            </w:r>
          </w:p>
        </w:tc>
      </w:tr>
      <w:tr w:rsidR="11FF0BBC" w14:paraId="102EDEF0" w14:textId="77777777" w:rsidTr="00BC61E5">
        <w:tc>
          <w:tcPr>
            <w:tcW w:w="3630" w:type="dxa"/>
          </w:tcPr>
          <w:p w14:paraId="08F0DB3E" w14:textId="238A78B2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UE speed</w:t>
            </w:r>
          </w:p>
        </w:tc>
        <w:tc>
          <w:tcPr>
            <w:tcW w:w="6000" w:type="dxa"/>
          </w:tcPr>
          <w:p w14:paraId="067C36E4" w14:textId="6AB1C56C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3km/h , 30km/h or 120km/h </w:t>
            </w:r>
          </w:p>
        </w:tc>
      </w:tr>
      <w:tr w:rsidR="11FF0BBC" w14:paraId="36D4660C" w14:textId="77777777" w:rsidTr="00BC61E5">
        <w:tc>
          <w:tcPr>
            <w:tcW w:w="3630" w:type="dxa"/>
          </w:tcPr>
          <w:p w14:paraId="16020199" w14:textId="6A54CF2A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Number of UE antennas </w:t>
            </w:r>
          </w:p>
        </w:tc>
        <w:tc>
          <w:tcPr>
            <w:tcW w:w="6000" w:type="dxa"/>
          </w:tcPr>
          <w:p w14:paraId="415D802C" w14:textId="17B99C71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1T4R, 2T4R or 4T4R</w:t>
            </w:r>
          </w:p>
        </w:tc>
      </w:tr>
      <w:tr w:rsidR="11FF0BBC" w14:paraId="6D7E4CCC" w14:textId="77777777" w:rsidTr="00BC61E5">
        <w:tc>
          <w:tcPr>
            <w:tcW w:w="3630" w:type="dxa"/>
          </w:tcPr>
          <w:p w14:paraId="58668A0D" w14:textId="2DC2C22C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Number of gNB antennas</w:t>
            </w:r>
          </w:p>
        </w:tc>
        <w:tc>
          <w:tcPr>
            <w:tcW w:w="6000" w:type="dxa"/>
          </w:tcPr>
          <w:p w14:paraId="73799069" w14:textId="31393069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32T32R or 64T64R</w:t>
            </w:r>
          </w:p>
        </w:tc>
      </w:tr>
      <w:tr w:rsidR="11FF0BBC" w14:paraId="10FED3DC" w14:textId="77777777" w:rsidTr="00BC61E5">
        <w:tc>
          <w:tcPr>
            <w:tcW w:w="3630" w:type="dxa"/>
          </w:tcPr>
          <w:p w14:paraId="0FC14D77" w14:textId="3F0A681F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UE antenna configuration</w:t>
            </w:r>
          </w:p>
        </w:tc>
        <w:tc>
          <w:tcPr>
            <w:tcW w:w="6000" w:type="dxa"/>
          </w:tcPr>
          <w:p w14:paraId="57AEF546" w14:textId="0BD3C236" w:rsidR="11FF0BBC" w:rsidRPr="00F46A03" w:rsidRDefault="11FF0BBC" w:rsidP="00BC61E5">
            <w:pPr>
              <w:jc w:val="both"/>
              <w:rPr>
                <w:szCs w:val="22"/>
              </w:rPr>
            </w:pPr>
            <w:r w:rsidRPr="00F46A03">
              <w:rPr>
                <w:sz w:val="20"/>
              </w:rPr>
              <w:t xml:space="preserve">FR1: </w:t>
            </w:r>
            <w:proofErr w:type="spellStart"/>
            <w:r w:rsidRPr="00F46A03">
              <w:rPr>
                <w:sz w:val="20"/>
              </w:rPr>
              <w:t>omni</w:t>
            </w:r>
            <w:proofErr w:type="spellEnd"/>
            <w:r w:rsidRPr="00F46A03">
              <w:rPr>
                <w:sz w:val="20"/>
              </w:rPr>
              <w:t xml:space="preserve"> as baseline</w:t>
            </w:r>
            <w:r>
              <w:br/>
            </w:r>
            <w:r w:rsidRPr="00BC61E5">
              <w:rPr>
                <w:sz w:val="20"/>
              </w:rPr>
              <w:t>FR2: directional</w:t>
            </w:r>
          </w:p>
        </w:tc>
      </w:tr>
      <w:tr w:rsidR="11FF0BBC" w14:paraId="57805130" w14:textId="77777777" w:rsidTr="00BC61E5">
        <w:tc>
          <w:tcPr>
            <w:tcW w:w="3630" w:type="dxa"/>
          </w:tcPr>
          <w:p w14:paraId="15B40AD6" w14:textId="633BB82D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Rank, </w:t>
            </w:r>
            <w:proofErr w:type="spellStart"/>
            <w:r w:rsidRPr="00F46A03">
              <w:rPr>
                <w:sz w:val="20"/>
              </w:rPr>
              <w:t>precoder</w:t>
            </w:r>
            <w:proofErr w:type="spellEnd"/>
            <w:r w:rsidRPr="00F46A03">
              <w:rPr>
                <w:sz w:val="20"/>
              </w:rPr>
              <w:t xml:space="preserve"> and MCS </w:t>
            </w:r>
          </w:p>
        </w:tc>
        <w:tc>
          <w:tcPr>
            <w:tcW w:w="6000" w:type="dxa"/>
          </w:tcPr>
          <w:p w14:paraId="5FAEC859" w14:textId="3F526AEF" w:rsidR="11FF0BBC" w:rsidRDefault="11FF0BBC" w:rsidP="00F46A03">
            <w:pPr>
              <w:jc w:val="both"/>
            </w:pPr>
            <w:proofErr w:type="spellStart"/>
            <w:r w:rsidRPr="00F46A03">
              <w:rPr>
                <w:sz w:val="20"/>
              </w:rPr>
              <w:t>Precoder</w:t>
            </w:r>
            <w:proofErr w:type="spellEnd"/>
            <w:r w:rsidRPr="00F46A03">
              <w:rPr>
                <w:sz w:val="20"/>
              </w:rPr>
              <w:t xml:space="preserve"> is adaptive. Rank/MCS can be adaptive or fixed.</w:t>
            </w:r>
          </w:p>
        </w:tc>
      </w:tr>
      <w:tr w:rsidR="11FF0BBC" w14:paraId="05F3E939" w14:textId="77777777" w:rsidTr="00BC61E5">
        <w:tc>
          <w:tcPr>
            <w:tcW w:w="3630" w:type="dxa"/>
          </w:tcPr>
          <w:p w14:paraId="36D806A3" w14:textId="38B0D339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Precoding granularity</w:t>
            </w:r>
          </w:p>
        </w:tc>
        <w:tc>
          <w:tcPr>
            <w:tcW w:w="6000" w:type="dxa"/>
          </w:tcPr>
          <w:p w14:paraId="6E7FC977" w14:textId="51410CD5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Fixed: 2, 4 or wideband for DL, wideband for UL.</w:t>
            </w:r>
          </w:p>
        </w:tc>
      </w:tr>
      <w:tr w:rsidR="11FF0BBC" w14:paraId="746FEF5A" w14:textId="77777777" w:rsidTr="00BC61E5">
        <w:tc>
          <w:tcPr>
            <w:tcW w:w="3630" w:type="dxa"/>
          </w:tcPr>
          <w:p w14:paraId="5D6D79AC" w14:textId="730B7CD8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 xml:space="preserve">SRS periodicity </w:t>
            </w:r>
          </w:p>
        </w:tc>
        <w:tc>
          <w:tcPr>
            <w:tcW w:w="6000" w:type="dxa"/>
          </w:tcPr>
          <w:p w14:paraId="73CF6995" w14:textId="6C2F984B" w:rsidR="11FF0BBC" w:rsidRDefault="11FF0BBC">
            <w:pPr>
              <w:jc w:val="both"/>
            </w:pPr>
            <w:r w:rsidRPr="00F46A03">
              <w:rPr>
                <w:sz w:val="20"/>
              </w:rPr>
              <w:t>Companies to state the used SRS periodicity.</w:t>
            </w:r>
          </w:p>
        </w:tc>
      </w:tr>
      <w:tr w:rsidR="11FF0BBC" w14:paraId="254AFD1E" w14:textId="77777777" w:rsidTr="00BC61E5">
        <w:tc>
          <w:tcPr>
            <w:tcW w:w="3630" w:type="dxa"/>
          </w:tcPr>
          <w:p w14:paraId="39F49DFF" w14:textId="05821DE6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SRS Comb</w:t>
            </w:r>
          </w:p>
        </w:tc>
        <w:tc>
          <w:tcPr>
            <w:tcW w:w="6000" w:type="dxa"/>
          </w:tcPr>
          <w:p w14:paraId="32679BAF" w14:textId="6FD02FBF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Comb 2 or 4</w:t>
            </w:r>
          </w:p>
        </w:tc>
      </w:tr>
      <w:tr w:rsidR="11FF0BBC" w14:paraId="0A3C7EFA" w14:textId="77777777" w:rsidTr="00BC61E5">
        <w:tc>
          <w:tcPr>
            <w:tcW w:w="3630" w:type="dxa"/>
          </w:tcPr>
          <w:p w14:paraId="2C6DC5E0" w14:textId="4FFE050D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SRS frequency hopping</w:t>
            </w:r>
          </w:p>
        </w:tc>
        <w:tc>
          <w:tcPr>
            <w:tcW w:w="6000" w:type="dxa"/>
          </w:tcPr>
          <w:p w14:paraId="155DBCD3" w14:textId="294FE172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Companies to state whether SRS frequency hopping is enabled and the hopping pattern if so.</w:t>
            </w:r>
          </w:p>
        </w:tc>
      </w:tr>
      <w:tr w:rsidR="11FF0BBC" w14:paraId="25391733" w14:textId="77777777" w:rsidTr="00BC61E5">
        <w:tc>
          <w:tcPr>
            <w:tcW w:w="3630" w:type="dxa"/>
          </w:tcPr>
          <w:p w14:paraId="05C842CA" w14:textId="2F7328EB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DL SNR</w:t>
            </w:r>
          </w:p>
        </w:tc>
        <w:tc>
          <w:tcPr>
            <w:tcW w:w="6000" w:type="dxa"/>
          </w:tcPr>
          <w:p w14:paraId="3C6089AD" w14:textId="241642DD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Companies to state the used difference between DL SNR and UL SNR</w:t>
            </w:r>
          </w:p>
        </w:tc>
      </w:tr>
      <w:tr w:rsidR="11FF0BBC" w14:paraId="4627FD60" w14:textId="77777777" w:rsidTr="00BC61E5">
        <w:tc>
          <w:tcPr>
            <w:tcW w:w="3630" w:type="dxa"/>
          </w:tcPr>
          <w:p w14:paraId="2828E7E1" w14:textId="55E1A5F8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Phase coherency</w:t>
            </w:r>
          </w:p>
        </w:tc>
        <w:tc>
          <w:tcPr>
            <w:tcW w:w="6000" w:type="dxa"/>
          </w:tcPr>
          <w:p w14:paraId="6F08F637" w14:textId="0CCF0ABE" w:rsidR="11FF0BBC" w:rsidRDefault="11FF0BBC" w:rsidP="00F46A03">
            <w:pPr>
              <w:jc w:val="both"/>
            </w:pPr>
            <w:r w:rsidRPr="00F46A03">
              <w:rPr>
                <w:sz w:val="20"/>
              </w:rPr>
              <w:t>Companies to state whether the phase coherency in time domain is modelled and if so, how.</w:t>
            </w:r>
          </w:p>
        </w:tc>
      </w:tr>
    </w:tbl>
    <w:p w14:paraId="0D3A8F24" w14:textId="5F194FB8" w:rsidR="00DB4150" w:rsidRPr="00DB4150" w:rsidRDefault="11FF0BBC">
      <w:pPr>
        <w:rPr>
          <w:lang w:eastAsia="ko-KR"/>
        </w:rPr>
      </w:pPr>
      <w:r w:rsidRPr="00F46A03">
        <w:t xml:space="preserve"> </w:t>
      </w:r>
    </w:p>
    <w:p w14:paraId="7EF669F0" w14:textId="77777777" w:rsidR="000F762B" w:rsidRPr="00824037" w:rsidRDefault="000F762B" w:rsidP="00FB6F1A">
      <w:pPr>
        <w:pStyle w:val="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1CBBDA45" w14:textId="4BDB8122" w:rsidR="00292C8C" w:rsidRPr="00336297" w:rsidRDefault="001D56C6" w:rsidP="00292C8C">
      <w:pPr>
        <w:pStyle w:val="2222"/>
        <w:numPr>
          <w:ilvl w:val="0"/>
          <w:numId w:val="9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3" w:name="_Ref31989388"/>
      <w:bookmarkStart w:id="4" w:name="_Ref526288974"/>
      <w:r>
        <w:rPr>
          <w:sz w:val="20"/>
          <w:lang w:val="en-US" w:eastAsia="ko-KR"/>
        </w:rPr>
        <w:t>3GPP</w:t>
      </w:r>
      <w:r w:rsidR="00292C8C">
        <w:rPr>
          <w:sz w:val="20"/>
          <w:lang w:val="en-US" w:eastAsia="ko-KR"/>
        </w:rPr>
        <w:t xml:space="preserve"> RAN</w:t>
      </w:r>
      <w:r w:rsidR="00416755">
        <w:rPr>
          <w:sz w:val="20"/>
          <w:lang w:val="en-US" w:eastAsia="ko-KR"/>
        </w:rPr>
        <w:t>,</w:t>
      </w:r>
      <w:r w:rsidR="00292C8C">
        <w:rPr>
          <w:sz w:val="20"/>
          <w:lang w:val="en-US" w:eastAsia="ko-KR"/>
        </w:rPr>
        <w:t xml:space="preserve"> RP-193133, Samsung,</w:t>
      </w:r>
      <w:r w:rsidR="00CC410D">
        <w:rPr>
          <w:sz w:val="20"/>
          <w:lang w:val="en-US" w:eastAsia="ko-KR"/>
        </w:rPr>
        <w:t xml:space="preserve"> New WID: fu</w:t>
      </w:r>
      <w:r w:rsidR="00476413">
        <w:rPr>
          <w:sz w:val="20"/>
          <w:lang w:val="en-US" w:eastAsia="ko-KR"/>
        </w:rPr>
        <w:t>rther enhancements on MIMO for N</w:t>
      </w:r>
      <w:r w:rsidR="00CC410D">
        <w:rPr>
          <w:sz w:val="20"/>
          <w:lang w:val="en-US" w:eastAsia="ko-KR"/>
        </w:rPr>
        <w:t>R</w:t>
      </w:r>
      <w:r w:rsidR="00292C8C">
        <w:rPr>
          <w:sz w:val="20"/>
          <w:lang w:val="en-US" w:eastAsia="ko-KR"/>
        </w:rPr>
        <w:t xml:space="preserve"> </w:t>
      </w:r>
      <w:r w:rsidR="00416755">
        <w:rPr>
          <w:sz w:val="20"/>
          <w:lang w:val="en-US" w:eastAsia="ko-KR"/>
        </w:rPr>
        <w:t xml:space="preserve"> </w:t>
      </w:r>
      <w:bookmarkEnd w:id="3"/>
      <w:bookmarkEnd w:id="4"/>
    </w:p>
    <w:p w14:paraId="5BF2D3D9" w14:textId="214AF21B" w:rsidR="00C924CF" w:rsidRPr="00336297" w:rsidRDefault="00C924CF" w:rsidP="00BC61E5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sectPr w:rsidR="00C924CF" w:rsidRPr="00336297" w:rsidSect="00F46A0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12E54" w14:textId="77777777" w:rsidR="003E2A42" w:rsidRDefault="003E2A42">
      <w:r>
        <w:separator/>
      </w:r>
    </w:p>
  </w:endnote>
  <w:endnote w:type="continuationSeparator" w:id="0">
    <w:p w14:paraId="473B3C94" w14:textId="77777777" w:rsidR="003E2A42" w:rsidRDefault="003E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4E9FF" w14:textId="77777777" w:rsidR="003E2A42" w:rsidRDefault="003E2A42">
      <w:r>
        <w:separator/>
      </w:r>
    </w:p>
  </w:footnote>
  <w:footnote w:type="continuationSeparator" w:id="0">
    <w:p w14:paraId="6FC5E9A9" w14:textId="77777777" w:rsidR="003E2A42" w:rsidRDefault="003E2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E83B36" w:rsidRDefault="00E83B3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74B4"/>
    <w:multiLevelType w:val="hybridMultilevel"/>
    <w:tmpl w:val="2078F220"/>
    <w:lvl w:ilvl="0" w:tplc="1F2E8F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802FA9"/>
    <w:multiLevelType w:val="hybridMultilevel"/>
    <w:tmpl w:val="58B0F24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5C30148"/>
    <w:multiLevelType w:val="hybridMultilevel"/>
    <w:tmpl w:val="9DDC7506"/>
    <w:lvl w:ilvl="0" w:tplc="08CA6C5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7182056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E3E67DA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4128E7E8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39305924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166466B6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BDE47BD8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9F086ABC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12662110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713639"/>
    <w:multiLevelType w:val="hybridMultilevel"/>
    <w:tmpl w:val="AC385816"/>
    <w:lvl w:ilvl="0" w:tplc="B6543320">
      <w:start w:val="1"/>
      <w:numFmt w:val="decimal"/>
      <w:lvlText w:val="%1."/>
      <w:lvlJc w:val="left"/>
      <w:pPr>
        <w:ind w:left="800" w:hanging="400"/>
      </w:pPr>
    </w:lvl>
    <w:lvl w:ilvl="1" w:tplc="BD1A48A8">
      <w:start w:val="1"/>
      <w:numFmt w:val="decimal"/>
      <w:lvlText w:val="%2."/>
      <w:lvlJc w:val="left"/>
      <w:pPr>
        <w:ind w:left="1200" w:hanging="400"/>
      </w:pPr>
    </w:lvl>
    <w:lvl w:ilvl="2" w:tplc="AD24D55E">
      <w:start w:val="1"/>
      <w:numFmt w:val="lowerRoman"/>
      <w:lvlText w:val="%3."/>
      <w:lvlJc w:val="right"/>
      <w:pPr>
        <w:ind w:left="1600" w:hanging="400"/>
      </w:pPr>
    </w:lvl>
    <w:lvl w:ilvl="3" w:tplc="36DE5CAA">
      <w:start w:val="1"/>
      <w:numFmt w:val="decimal"/>
      <w:lvlText w:val="%4."/>
      <w:lvlJc w:val="left"/>
      <w:pPr>
        <w:ind w:left="2000" w:hanging="400"/>
      </w:pPr>
    </w:lvl>
    <w:lvl w:ilvl="4" w:tplc="6C9AE392">
      <w:start w:val="1"/>
      <w:numFmt w:val="lowerLetter"/>
      <w:lvlText w:val="%5."/>
      <w:lvlJc w:val="left"/>
      <w:pPr>
        <w:ind w:left="2400" w:hanging="400"/>
      </w:pPr>
    </w:lvl>
    <w:lvl w:ilvl="5" w:tplc="FF1692F4">
      <w:start w:val="1"/>
      <w:numFmt w:val="lowerRoman"/>
      <w:lvlText w:val="%6."/>
      <w:lvlJc w:val="right"/>
      <w:pPr>
        <w:ind w:left="2800" w:hanging="400"/>
      </w:pPr>
    </w:lvl>
    <w:lvl w:ilvl="6" w:tplc="34A4CDE0">
      <w:start w:val="1"/>
      <w:numFmt w:val="decimal"/>
      <w:lvlText w:val="%7."/>
      <w:lvlJc w:val="left"/>
      <w:pPr>
        <w:ind w:left="3200" w:hanging="400"/>
      </w:pPr>
    </w:lvl>
    <w:lvl w:ilvl="7" w:tplc="93D264E2">
      <w:start w:val="1"/>
      <w:numFmt w:val="lowerLetter"/>
      <w:lvlText w:val="%8."/>
      <w:lvlJc w:val="left"/>
      <w:pPr>
        <w:ind w:left="3600" w:hanging="400"/>
      </w:pPr>
    </w:lvl>
    <w:lvl w:ilvl="8" w:tplc="C0ECC61C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344137F"/>
    <w:multiLevelType w:val="hybridMultilevel"/>
    <w:tmpl w:val="45CAB3A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D2F209B"/>
    <w:multiLevelType w:val="hybridMultilevel"/>
    <w:tmpl w:val="39224DB6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0C0D7C"/>
    <w:multiLevelType w:val="hybridMultilevel"/>
    <w:tmpl w:val="1752E638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5E96BD8"/>
    <w:multiLevelType w:val="hybridMultilevel"/>
    <w:tmpl w:val="F91E97A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86733A"/>
    <w:multiLevelType w:val="hybridMultilevel"/>
    <w:tmpl w:val="A8B4A3A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AEA01D5"/>
    <w:multiLevelType w:val="hybridMultilevel"/>
    <w:tmpl w:val="EA30DEC0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5B4E03A8"/>
    <w:multiLevelType w:val="hybridMultilevel"/>
    <w:tmpl w:val="D49C0B5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2426C"/>
    <w:multiLevelType w:val="hybridMultilevel"/>
    <w:tmpl w:val="C5945CB6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5F09"/>
    <w:multiLevelType w:val="hybridMultilevel"/>
    <w:tmpl w:val="49F00542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04676C"/>
    <w:multiLevelType w:val="hybridMultilevel"/>
    <w:tmpl w:val="A91E6238"/>
    <w:lvl w:ilvl="0" w:tplc="8E2EE042">
      <w:start w:val="1"/>
      <w:numFmt w:val="decimal"/>
      <w:lvlText w:val="%1."/>
      <w:lvlJc w:val="left"/>
      <w:pPr>
        <w:ind w:left="800" w:hanging="400"/>
      </w:pPr>
    </w:lvl>
    <w:lvl w:ilvl="1" w:tplc="C7CEE7B2">
      <w:start w:val="1"/>
      <w:numFmt w:val="decimal"/>
      <w:lvlText w:val="%2."/>
      <w:lvlJc w:val="left"/>
      <w:pPr>
        <w:ind w:left="1200" w:hanging="400"/>
      </w:pPr>
    </w:lvl>
    <w:lvl w:ilvl="2" w:tplc="4AF28FE4">
      <w:start w:val="1"/>
      <w:numFmt w:val="lowerRoman"/>
      <w:lvlText w:val="%3."/>
      <w:lvlJc w:val="right"/>
      <w:pPr>
        <w:ind w:left="1600" w:hanging="400"/>
      </w:pPr>
    </w:lvl>
    <w:lvl w:ilvl="3" w:tplc="9CB0AAEC">
      <w:start w:val="1"/>
      <w:numFmt w:val="decimal"/>
      <w:lvlText w:val="%4."/>
      <w:lvlJc w:val="left"/>
      <w:pPr>
        <w:ind w:left="2000" w:hanging="400"/>
      </w:pPr>
    </w:lvl>
    <w:lvl w:ilvl="4" w:tplc="8A508A7E">
      <w:start w:val="1"/>
      <w:numFmt w:val="lowerLetter"/>
      <w:lvlText w:val="%5."/>
      <w:lvlJc w:val="left"/>
      <w:pPr>
        <w:ind w:left="2400" w:hanging="400"/>
      </w:pPr>
    </w:lvl>
    <w:lvl w:ilvl="5" w:tplc="9BE2C42C">
      <w:start w:val="1"/>
      <w:numFmt w:val="lowerRoman"/>
      <w:lvlText w:val="%6."/>
      <w:lvlJc w:val="right"/>
      <w:pPr>
        <w:ind w:left="2800" w:hanging="400"/>
      </w:pPr>
    </w:lvl>
    <w:lvl w:ilvl="6" w:tplc="4A9839AE">
      <w:start w:val="1"/>
      <w:numFmt w:val="decimal"/>
      <w:lvlText w:val="%7."/>
      <w:lvlJc w:val="left"/>
      <w:pPr>
        <w:ind w:left="3200" w:hanging="400"/>
      </w:pPr>
    </w:lvl>
    <w:lvl w:ilvl="7" w:tplc="241A74A8">
      <w:start w:val="1"/>
      <w:numFmt w:val="lowerLetter"/>
      <w:lvlText w:val="%8."/>
      <w:lvlJc w:val="left"/>
      <w:pPr>
        <w:ind w:left="3600" w:hanging="400"/>
      </w:pPr>
    </w:lvl>
    <w:lvl w:ilvl="8" w:tplc="D73487EE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A255C8F"/>
    <w:multiLevelType w:val="hybridMultilevel"/>
    <w:tmpl w:val="276E085C"/>
    <w:lvl w:ilvl="0" w:tplc="FFFFFFFF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6ABE4447"/>
    <w:multiLevelType w:val="hybridMultilevel"/>
    <w:tmpl w:val="33BC38C2"/>
    <w:lvl w:ilvl="0" w:tplc="EE0255B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1D8F632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5EFA1D9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747C38C4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228473D2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B74A49DE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166CAABA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3AE6E4E4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BDC26022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3"/>
  </w:num>
  <w:num w:numId="3">
    <w:abstractNumId w:val="4"/>
  </w:num>
  <w:num w:numId="4">
    <w:abstractNumId w:val="25"/>
  </w:num>
  <w:num w:numId="5">
    <w:abstractNumId w:val="5"/>
  </w:num>
  <w:num w:numId="6">
    <w:abstractNumId w:val="10"/>
  </w:num>
  <w:num w:numId="7">
    <w:abstractNumId w:val="15"/>
  </w:num>
  <w:num w:numId="8">
    <w:abstractNumId w:val="26"/>
  </w:num>
  <w:num w:numId="9">
    <w:abstractNumId w:val="2"/>
  </w:num>
  <w:num w:numId="10">
    <w:abstractNumId w:val="0"/>
  </w:num>
  <w:num w:numId="11">
    <w:abstractNumId w:val="20"/>
  </w:num>
  <w:num w:numId="12">
    <w:abstractNumId w:val="2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12"/>
  </w:num>
  <w:num w:numId="17">
    <w:abstractNumId w:val="21"/>
  </w:num>
  <w:num w:numId="18">
    <w:abstractNumId w:val="9"/>
  </w:num>
  <w:num w:numId="19">
    <w:abstractNumId w:val="17"/>
  </w:num>
  <w:num w:numId="20">
    <w:abstractNumId w:val="11"/>
  </w:num>
  <w:num w:numId="21">
    <w:abstractNumId w:val="24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3"/>
  </w:num>
  <w:num w:numId="29">
    <w:abstractNumId w:val="1"/>
  </w:num>
  <w:num w:numId="30">
    <w:abstractNumId w:val="19"/>
  </w:num>
  <w:num w:numId="31">
    <w:abstractNumId w:val="7"/>
  </w:num>
  <w:num w:numId="32">
    <w:abstractNumId w:val="16"/>
  </w:num>
  <w:num w:numId="3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5C74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DFE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660"/>
    <w:rsid w:val="00061035"/>
    <w:rsid w:val="000612B6"/>
    <w:rsid w:val="00061CB0"/>
    <w:rsid w:val="00062117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5D47"/>
    <w:rsid w:val="00066095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0A2"/>
    <w:rsid w:val="000A5315"/>
    <w:rsid w:val="000A5409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014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6D"/>
    <w:rsid w:val="000F24A7"/>
    <w:rsid w:val="000F2916"/>
    <w:rsid w:val="000F2A2B"/>
    <w:rsid w:val="000F2A5E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1CA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F6"/>
    <w:rsid w:val="001043C7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3F82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4D9"/>
    <w:rsid w:val="00137679"/>
    <w:rsid w:val="001379DE"/>
    <w:rsid w:val="001405F9"/>
    <w:rsid w:val="00140C63"/>
    <w:rsid w:val="00140E28"/>
    <w:rsid w:val="00140E89"/>
    <w:rsid w:val="0014151A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99B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2A2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546"/>
    <w:rsid w:val="00180587"/>
    <w:rsid w:val="00180737"/>
    <w:rsid w:val="00180AD4"/>
    <w:rsid w:val="001811BE"/>
    <w:rsid w:val="001811F6"/>
    <w:rsid w:val="00181489"/>
    <w:rsid w:val="001816DB"/>
    <w:rsid w:val="00181899"/>
    <w:rsid w:val="00181D8F"/>
    <w:rsid w:val="0018221C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5FF5"/>
    <w:rsid w:val="001C64AB"/>
    <w:rsid w:val="001C6890"/>
    <w:rsid w:val="001C6FD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D14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2EFC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E6B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09C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0C7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4CF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5EA4"/>
    <w:rsid w:val="00316644"/>
    <w:rsid w:val="003169D4"/>
    <w:rsid w:val="00316AD7"/>
    <w:rsid w:val="003171EA"/>
    <w:rsid w:val="00317602"/>
    <w:rsid w:val="00317929"/>
    <w:rsid w:val="0031796C"/>
    <w:rsid w:val="00317A89"/>
    <w:rsid w:val="00317CB5"/>
    <w:rsid w:val="00317F9A"/>
    <w:rsid w:val="00317FB1"/>
    <w:rsid w:val="003200F1"/>
    <w:rsid w:val="003204CA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56B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0B8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063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A42"/>
    <w:rsid w:val="003E2B61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6FC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0DCD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8FC"/>
    <w:rsid w:val="00462C04"/>
    <w:rsid w:val="004630EF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1AF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8BB"/>
    <w:rsid w:val="004D1981"/>
    <w:rsid w:val="004D1DBE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39D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5909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3A3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491C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D98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020"/>
    <w:rsid w:val="00565358"/>
    <w:rsid w:val="005656CE"/>
    <w:rsid w:val="00565C02"/>
    <w:rsid w:val="00566127"/>
    <w:rsid w:val="005661A8"/>
    <w:rsid w:val="00566408"/>
    <w:rsid w:val="00566439"/>
    <w:rsid w:val="005665A0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4C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543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EF0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AA0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39A3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277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7C4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0D2A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7CC"/>
    <w:rsid w:val="006D58CF"/>
    <w:rsid w:val="006D604D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09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477"/>
    <w:rsid w:val="007045A8"/>
    <w:rsid w:val="00705068"/>
    <w:rsid w:val="00705241"/>
    <w:rsid w:val="00705371"/>
    <w:rsid w:val="0070542F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4A7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D77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092"/>
    <w:rsid w:val="00744224"/>
    <w:rsid w:val="0074432F"/>
    <w:rsid w:val="00744684"/>
    <w:rsid w:val="007447DC"/>
    <w:rsid w:val="00744812"/>
    <w:rsid w:val="00744D93"/>
    <w:rsid w:val="00745651"/>
    <w:rsid w:val="007456F2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47F0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4C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2D5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03DA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21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88D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BB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AEA"/>
    <w:rsid w:val="00955D6A"/>
    <w:rsid w:val="009564A8"/>
    <w:rsid w:val="00956F50"/>
    <w:rsid w:val="0095778B"/>
    <w:rsid w:val="00957F45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067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051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D3D"/>
    <w:rsid w:val="00A16F5D"/>
    <w:rsid w:val="00A17218"/>
    <w:rsid w:val="00A174EE"/>
    <w:rsid w:val="00A17773"/>
    <w:rsid w:val="00A17F78"/>
    <w:rsid w:val="00A207CA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AC8"/>
    <w:rsid w:val="00A34D40"/>
    <w:rsid w:val="00A34E0A"/>
    <w:rsid w:val="00A3505F"/>
    <w:rsid w:val="00A35E28"/>
    <w:rsid w:val="00A35EB5"/>
    <w:rsid w:val="00A3604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033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17D"/>
    <w:rsid w:val="00A8065C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579"/>
    <w:rsid w:val="00A86BC1"/>
    <w:rsid w:val="00A86C9F"/>
    <w:rsid w:val="00A86CBB"/>
    <w:rsid w:val="00A87968"/>
    <w:rsid w:val="00A87D63"/>
    <w:rsid w:val="00A90758"/>
    <w:rsid w:val="00A90AF7"/>
    <w:rsid w:val="00A91843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14A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07"/>
    <w:rsid w:val="00AB39FF"/>
    <w:rsid w:val="00AB3A7B"/>
    <w:rsid w:val="00AB3DE2"/>
    <w:rsid w:val="00AB40FC"/>
    <w:rsid w:val="00AB465B"/>
    <w:rsid w:val="00AB46C9"/>
    <w:rsid w:val="00AB48E8"/>
    <w:rsid w:val="00AB4C71"/>
    <w:rsid w:val="00AB4EF1"/>
    <w:rsid w:val="00AB51AA"/>
    <w:rsid w:val="00AB5353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449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9D0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889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34DB"/>
    <w:rsid w:val="00B53B8E"/>
    <w:rsid w:val="00B54334"/>
    <w:rsid w:val="00B54F7F"/>
    <w:rsid w:val="00B5526D"/>
    <w:rsid w:val="00B558A7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2E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6A0"/>
    <w:rsid w:val="00BB5716"/>
    <w:rsid w:val="00BB63C7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023"/>
    <w:rsid w:val="00BC61E5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EF0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49F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C2F"/>
    <w:rsid w:val="00BF7F72"/>
    <w:rsid w:val="00C013B9"/>
    <w:rsid w:val="00C02533"/>
    <w:rsid w:val="00C0255B"/>
    <w:rsid w:val="00C02A3E"/>
    <w:rsid w:val="00C02A4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52A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724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D1"/>
    <w:rsid w:val="00C943D5"/>
    <w:rsid w:val="00C9465B"/>
    <w:rsid w:val="00C94ACE"/>
    <w:rsid w:val="00C94B7B"/>
    <w:rsid w:val="00C952CE"/>
    <w:rsid w:val="00C95343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877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0F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D70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1E4C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CDE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DD1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04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150"/>
    <w:rsid w:val="00DB4661"/>
    <w:rsid w:val="00DB5384"/>
    <w:rsid w:val="00DB5580"/>
    <w:rsid w:val="00DB6072"/>
    <w:rsid w:val="00DB6741"/>
    <w:rsid w:val="00DB69FC"/>
    <w:rsid w:val="00DB6FDD"/>
    <w:rsid w:val="00DB73C0"/>
    <w:rsid w:val="00DC0665"/>
    <w:rsid w:val="00DC09C8"/>
    <w:rsid w:val="00DC0BA7"/>
    <w:rsid w:val="00DC0C8A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45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543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161"/>
    <w:rsid w:val="00E237D1"/>
    <w:rsid w:val="00E2388A"/>
    <w:rsid w:val="00E2410B"/>
    <w:rsid w:val="00E244B4"/>
    <w:rsid w:val="00E2457E"/>
    <w:rsid w:val="00E245DA"/>
    <w:rsid w:val="00E24CC7"/>
    <w:rsid w:val="00E24F3A"/>
    <w:rsid w:val="00E2520C"/>
    <w:rsid w:val="00E25954"/>
    <w:rsid w:val="00E25D62"/>
    <w:rsid w:val="00E25E5B"/>
    <w:rsid w:val="00E25F37"/>
    <w:rsid w:val="00E26059"/>
    <w:rsid w:val="00E26910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2E98"/>
    <w:rsid w:val="00E3309A"/>
    <w:rsid w:val="00E3384C"/>
    <w:rsid w:val="00E34602"/>
    <w:rsid w:val="00E34A89"/>
    <w:rsid w:val="00E34DB4"/>
    <w:rsid w:val="00E34E55"/>
    <w:rsid w:val="00E34E86"/>
    <w:rsid w:val="00E3511E"/>
    <w:rsid w:val="00E353EA"/>
    <w:rsid w:val="00E35478"/>
    <w:rsid w:val="00E355B7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3DE"/>
    <w:rsid w:val="00E40F62"/>
    <w:rsid w:val="00E41417"/>
    <w:rsid w:val="00E41660"/>
    <w:rsid w:val="00E41835"/>
    <w:rsid w:val="00E418BD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125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81E"/>
    <w:rsid w:val="00EE7E21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28F4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794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0B8"/>
    <w:rsid w:val="00F362E4"/>
    <w:rsid w:val="00F366BB"/>
    <w:rsid w:val="00F36B5A"/>
    <w:rsid w:val="00F36C44"/>
    <w:rsid w:val="00F36C93"/>
    <w:rsid w:val="00F36DE1"/>
    <w:rsid w:val="00F36FA7"/>
    <w:rsid w:val="00F370D1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03"/>
    <w:rsid w:val="00F46A9B"/>
    <w:rsid w:val="00F46E4E"/>
    <w:rsid w:val="00F470D4"/>
    <w:rsid w:val="00F47ABE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54B8"/>
    <w:rsid w:val="00F55D01"/>
    <w:rsid w:val="00F560B5"/>
    <w:rsid w:val="00F56272"/>
    <w:rsid w:val="00F56484"/>
    <w:rsid w:val="00F5684A"/>
    <w:rsid w:val="00F56C05"/>
    <w:rsid w:val="00F56CF0"/>
    <w:rsid w:val="00F56E59"/>
    <w:rsid w:val="00F57717"/>
    <w:rsid w:val="00F57B44"/>
    <w:rsid w:val="00F57C3D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5BED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D33"/>
    <w:rsid w:val="11FF0BBC"/>
    <w:rsid w:val="53EEB080"/>
    <w:rsid w:val="639A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6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5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7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10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1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11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1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1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99"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table" w:styleId="1-1">
    <w:name w:val="Grid Table 1 Light Accent 1"/>
    <w:basedOn w:val="a1"/>
    <w:uiPriority w:val="46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8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20E2646CC649B7419BBA3285BE8DC7FE" ma:contentTypeVersion="0" ma:contentTypeDescription="새 문서를 만듭니다." ma:contentTypeScope="" ma:versionID="d2b69f76661555285a8bd1fad90213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19110b3bdd87074b8a343c36fafff6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8E64-F117-4391-871C-A300D4C26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2F0E44-19F7-4FA7-BDE5-C3C3DFEC8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2EDED-3CE5-4940-9D64-28594D0BA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04A602-D255-403B-B695-5A7A6E37B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Samsung</cp:lastModifiedBy>
  <cp:revision>15</cp:revision>
  <cp:lastPrinted>2017-03-24T05:34:00Z</cp:lastPrinted>
  <dcterms:created xsi:type="dcterms:W3CDTF">2020-08-06T18:26:00Z</dcterms:created>
  <dcterms:modified xsi:type="dcterms:W3CDTF">2020-08-07T04:42:00Z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  <property fmtid="{D5CDD505-2E9C-101B-9397-08002B2CF9AE}" pid="11" name="ContentTypeId">
    <vt:lpwstr>0x01010020E2646CC649B7419BBA3285BE8DC7FE</vt:lpwstr>
  </property>
  <property fmtid="{D5CDD505-2E9C-101B-9397-08002B2CF9AE}" pid="12" name="IsMyDocuments">
    <vt:bool>true</vt:bool>
  </property>
</Properties>
</file>